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00" w:firstRow="0" w:lastRow="0" w:firstColumn="0" w:lastColumn="0" w:noHBand="0" w:noVBand="0"/>
      </w:tblPr>
      <w:tblGrid>
        <w:gridCol w:w="3456"/>
        <w:gridCol w:w="6008"/>
      </w:tblGrid>
      <w:tr w:rsidR="00C119A2" w:rsidRPr="007D7E0B" w14:paraId="03F01C12" w14:textId="77777777" w:rsidTr="003634DA">
        <w:tc>
          <w:tcPr>
            <w:tcW w:w="9464" w:type="dxa"/>
            <w:gridSpan w:val="2"/>
            <w:tcBorders>
              <w:bottom w:val="single" w:sz="18" w:space="0" w:color="auto"/>
            </w:tcBorders>
          </w:tcPr>
          <w:p w14:paraId="62E94A00" w14:textId="309800A3" w:rsidR="00C119A2" w:rsidRDefault="00C119A2" w:rsidP="00AD6D80">
            <w:pPr>
              <w:pStyle w:val="Infotext"/>
              <w:rPr>
                <w:rFonts w:ascii="Arial Black" w:hAnsi="Arial Black"/>
                <w:color w:val="999999"/>
                <w:sz w:val="36"/>
                <w:szCs w:val="36"/>
              </w:rPr>
            </w:pPr>
          </w:p>
          <w:p w14:paraId="48BC45EC" w14:textId="79D348A5" w:rsidR="002A2A54" w:rsidRDefault="002A2A54" w:rsidP="00AD6D80">
            <w:pPr>
              <w:pStyle w:val="Infotext"/>
              <w:rPr>
                <w:rFonts w:ascii="Arial Black" w:hAnsi="Arial Black"/>
                <w:color w:val="999999"/>
                <w:sz w:val="36"/>
                <w:szCs w:val="36"/>
              </w:rPr>
            </w:pPr>
            <w:r>
              <w:rPr>
                <w:noProof/>
              </w:rPr>
              <w:drawing>
                <wp:inline distT="0" distB="0" distL="0" distR="0" wp14:anchorId="3996E0F2" wp14:editId="6C407941">
                  <wp:extent cx="2443163" cy="705397"/>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3634DA">
        <w:tc>
          <w:tcPr>
            <w:tcW w:w="3456" w:type="dxa"/>
            <w:tcBorders>
              <w:bottom w:val="single" w:sz="18" w:space="0" w:color="auto"/>
            </w:tcBorders>
          </w:tcPr>
          <w:p w14:paraId="2D718AAC" w14:textId="77777777" w:rsidR="00333FAA" w:rsidRPr="00C765C5" w:rsidRDefault="00333FAA" w:rsidP="00A53B04">
            <w:pPr>
              <w:pStyle w:val="Infotext"/>
              <w:rPr>
                <w:rFonts w:ascii="Arial Black" w:hAnsi="Arial Black"/>
                <w:color w:val="999999"/>
                <w:sz w:val="36"/>
                <w:szCs w:val="36"/>
              </w:rPr>
            </w:pPr>
            <w:r w:rsidRPr="00C765C5">
              <w:rPr>
                <w:rFonts w:ascii="Arial Black" w:hAnsi="Arial Black"/>
                <w:color w:val="000000" w:themeColor="text1"/>
                <w:sz w:val="36"/>
                <w:szCs w:val="36"/>
              </w:rPr>
              <w:t>REPORT FOR:</w:t>
            </w:r>
          </w:p>
          <w:p w14:paraId="77E1C1CC" w14:textId="77777777" w:rsidR="00333FAA" w:rsidRPr="00C765C5" w:rsidRDefault="00333FAA" w:rsidP="00A53B04">
            <w:pPr>
              <w:pStyle w:val="Infotext"/>
              <w:rPr>
                <w:rFonts w:ascii="Arial Black" w:hAnsi="Arial Black" w:cs="Arial"/>
                <w:sz w:val="36"/>
                <w:szCs w:val="36"/>
              </w:rPr>
            </w:pPr>
          </w:p>
        </w:tc>
        <w:tc>
          <w:tcPr>
            <w:tcW w:w="6008" w:type="dxa"/>
            <w:tcBorders>
              <w:bottom w:val="single" w:sz="18" w:space="0" w:color="auto"/>
            </w:tcBorders>
          </w:tcPr>
          <w:p w14:paraId="398D81E2" w14:textId="0B2345F1" w:rsidR="00333FAA" w:rsidRPr="00C765C5" w:rsidRDefault="000C355D" w:rsidP="00A53B04">
            <w:pPr>
              <w:rPr>
                <w:rFonts w:ascii="Arial Black" w:hAnsi="Arial Black" w:cs="Arial"/>
                <w:sz w:val="36"/>
                <w:szCs w:val="36"/>
              </w:rPr>
            </w:pPr>
            <w:r w:rsidRPr="00C765C5">
              <w:rPr>
                <w:rFonts w:ascii="Arial Black" w:hAnsi="Arial Black" w:cs="Arial"/>
                <w:sz w:val="36"/>
                <w:szCs w:val="36"/>
              </w:rPr>
              <w:t>Governance, Audit, Risk Management and Standards Committee (</w:t>
            </w:r>
            <w:r w:rsidR="004160A4" w:rsidRPr="00C765C5">
              <w:rPr>
                <w:rFonts w:ascii="Arial Black" w:hAnsi="Arial Black" w:cs="Arial"/>
                <w:sz w:val="36"/>
                <w:szCs w:val="36"/>
              </w:rPr>
              <w:t>GARMS</w:t>
            </w:r>
            <w:r w:rsidR="00455C08" w:rsidRPr="00C765C5">
              <w:rPr>
                <w:rFonts w:ascii="Arial Black" w:hAnsi="Arial Black" w:cs="Arial"/>
                <w:sz w:val="36"/>
                <w:szCs w:val="36"/>
              </w:rPr>
              <w:t>)</w:t>
            </w:r>
          </w:p>
        </w:tc>
      </w:tr>
      <w:tr w:rsidR="00333FAA" w14:paraId="09E543AA" w14:textId="77777777" w:rsidTr="003634DA">
        <w:tc>
          <w:tcPr>
            <w:tcW w:w="3456" w:type="dxa"/>
            <w:tcBorders>
              <w:top w:val="single" w:sz="18" w:space="0" w:color="auto"/>
            </w:tcBorders>
          </w:tcPr>
          <w:p w14:paraId="7DAA7A3A" w14:textId="77777777" w:rsidR="00B20DCF" w:rsidRDefault="00B20DCF" w:rsidP="00A53B04">
            <w:pPr>
              <w:pStyle w:val="Infotext"/>
              <w:rPr>
                <w:rFonts w:ascii="Arial Black" w:hAnsi="Arial Black"/>
              </w:rPr>
            </w:pPr>
          </w:p>
          <w:p w14:paraId="5093DFC4" w14:textId="4F86B3BF"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18" w:space="0" w:color="auto"/>
            </w:tcBorders>
          </w:tcPr>
          <w:p w14:paraId="38A2F54F" w14:textId="77777777" w:rsidR="00B20DCF" w:rsidRPr="000A5DBC" w:rsidRDefault="00B20DCF" w:rsidP="00A53B04">
            <w:pPr>
              <w:rPr>
                <w:rFonts w:cs="Arial"/>
                <w:sz w:val="28"/>
                <w:szCs w:val="28"/>
              </w:rPr>
            </w:pPr>
          </w:p>
          <w:p w14:paraId="10F108A4" w14:textId="1659C2A7" w:rsidR="00333FAA" w:rsidRPr="000A5DBC" w:rsidRDefault="003A1E52" w:rsidP="000A5DBC">
            <w:pPr>
              <w:pStyle w:val="Infotext"/>
              <w:rPr>
                <w:rFonts w:cs="Arial"/>
                <w:szCs w:val="28"/>
                <w:highlight w:val="yellow"/>
              </w:rPr>
            </w:pPr>
            <w:r w:rsidRPr="00D43D71">
              <w:rPr>
                <w:rFonts w:cs="Arial"/>
                <w:szCs w:val="28"/>
              </w:rPr>
              <w:t>29 November 2023</w:t>
            </w:r>
          </w:p>
        </w:tc>
      </w:tr>
      <w:tr w:rsidR="00333FAA" w14:paraId="41E5B59A" w14:textId="77777777" w:rsidTr="003634DA">
        <w:tc>
          <w:tcPr>
            <w:tcW w:w="3456" w:type="dxa"/>
          </w:tcPr>
          <w:p w14:paraId="3B617A32" w14:textId="77777777" w:rsidR="00333FAA" w:rsidRPr="00905780" w:rsidRDefault="00333FAA" w:rsidP="00A53B04">
            <w:pPr>
              <w:pStyle w:val="Infotext"/>
              <w:rPr>
                <w:rFonts w:ascii="Arial Black" w:hAnsi="Arial Black" w:cs="Arial"/>
              </w:rPr>
            </w:pPr>
            <w:r w:rsidRPr="00905780">
              <w:rPr>
                <w:rFonts w:ascii="Arial Black" w:hAnsi="Arial Black" w:cs="Arial"/>
              </w:rPr>
              <w:t>Subject:</w:t>
            </w:r>
          </w:p>
          <w:p w14:paraId="259994CD" w14:textId="77777777" w:rsidR="00333FAA" w:rsidRPr="00905780" w:rsidRDefault="00333FAA" w:rsidP="00A53B04">
            <w:pPr>
              <w:pStyle w:val="Infotext"/>
              <w:rPr>
                <w:rFonts w:ascii="Arial Black" w:hAnsi="Arial Black"/>
              </w:rPr>
            </w:pPr>
          </w:p>
        </w:tc>
        <w:tc>
          <w:tcPr>
            <w:tcW w:w="6008" w:type="dxa"/>
          </w:tcPr>
          <w:p w14:paraId="6B15FF7C" w14:textId="77777777" w:rsidR="00D43D71" w:rsidRPr="00905780" w:rsidRDefault="00D43D71" w:rsidP="00D43D71">
            <w:pPr>
              <w:rPr>
                <w:rFonts w:cs="Arial"/>
                <w:sz w:val="28"/>
                <w:szCs w:val="28"/>
              </w:rPr>
            </w:pPr>
            <w:r w:rsidRPr="00905780">
              <w:rPr>
                <w:rFonts w:cs="Arial"/>
                <w:sz w:val="28"/>
                <w:szCs w:val="28"/>
              </w:rPr>
              <w:t>Treasury Management Mid-Year Report 2023/24</w:t>
            </w:r>
          </w:p>
          <w:p w14:paraId="74EF89BC" w14:textId="45A0E368" w:rsidR="00333FAA" w:rsidRPr="00905780" w:rsidRDefault="00333FAA" w:rsidP="002E1DF4">
            <w:pPr>
              <w:rPr>
                <w:rFonts w:cs="Arial"/>
                <w:sz w:val="28"/>
                <w:szCs w:val="28"/>
              </w:rPr>
            </w:pPr>
          </w:p>
          <w:p w14:paraId="0FEE3EA3" w14:textId="34928B1C" w:rsidR="00675F21" w:rsidRPr="00905780" w:rsidRDefault="00675F21" w:rsidP="002E1DF4">
            <w:pPr>
              <w:rPr>
                <w:rFonts w:cs="Arial"/>
                <w:sz w:val="28"/>
                <w:szCs w:val="28"/>
              </w:rPr>
            </w:pPr>
          </w:p>
        </w:tc>
      </w:tr>
      <w:tr w:rsidR="00333FAA" w14:paraId="408A06A2" w14:textId="77777777" w:rsidTr="003634DA">
        <w:tc>
          <w:tcPr>
            <w:tcW w:w="3456" w:type="dxa"/>
          </w:tcPr>
          <w:p w14:paraId="2B006B17" w14:textId="77777777" w:rsidR="00333FAA" w:rsidRPr="00C13A5F" w:rsidRDefault="00333FAA" w:rsidP="00A53B04">
            <w:pPr>
              <w:pStyle w:val="Infotext"/>
              <w:rPr>
                <w:rFonts w:ascii="Arial Black" w:hAnsi="Arial Black" w:cs="Arial"/>
              </w:rPr>
            </w:pPr>
          </w:p>
        </w:tc>
        <w:tc>
          <w:tcPr>
            <w:tcW w:w="6008" w:type="dxa"/>
          </w:tcPr>
          <w:p w14:paraId="4A191D68" w14:textId="78450630" w:rsidR="00333FAA" w:rsidRPr="000A5DBC" w:rsidRDefault="00333FAA" w:rsidP="005641E0">
            <w:pPr>
              <w:pStyle w:val="Infotext"/>
              <w:rPr>
                <w:rFonts w:cs="Arial"/>
                <w:szCs w:val="28"/>
              </w:rPr>
            </w:pPr>
          </w:p>
        </w:tc>
      </w:tr>
      <w:tr w:rsidR="001C7E35" w14:paraId="2D70C3B6" w14:textId="77777777" w:rsidTr="003634DA">
        <w:tc>
          <w:tcPr>
            <w:tcW w:w="3456" w:type="dxa"/>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180CBC92" w:rsidR="001C7E35" w:rsidRPr="000A5DBC" w:rsidRDefault="00D43D71" w:rsidP="00D835CF">
            <w:pPr>
              <w:pStyle w:val="Infotext"/>
              <w:rPr>
                <w:rFonts w:cs="Arial"/>
                <w:szCs w:val="28"/>
              </w:rPr>
            </w:pPr>
            <w:r>
              <w:rPr>
                <w:rFonts w:cs="Arial"/>
                <w:szCs w:val="28"/>
              </w:rPr>
              <w:t>Sharon Daniels</w:t>
            </w:r>
            <w:r w:rsidR="005641E0" w:rsidRPr="000A5DBC">
              <w:rPr>
                <w:rFonts w:cs="Arial"/>
                <w:szCs w:val="28"/>
              </w:rPr>
              <w:t xml:space="preserve">, </w:t>
            </w:r>
            <w:r>
              <w:rPr>
                <w:rFonts w:cs="Arial"/>
                <w:szCs w:val="28"/>
              </w:rPr>
              <w:t xml:space="preserve">Interim </w:t>
            </w:r>
            <w:r w:rsidR="005641E0" w:rsidRPr="000A5DBC">
              <w:rPr>
                <w:rFonts w:cs="Arial"/>
                <w:szCs w:val="28"/>
              </w:rPr>
              <w:t>Director of Finance</w:t>
            </w:r>
            <w:r w:rsidR="00822FA4" w:rsidRPr="000A5DBC">
              <w:rPr>
                <w:rFonts w:cs="Arial"/>
                <w:szCs w:val="28"/>
              </w:rPr>
              <w:t xml:space="preserve"> and Assurance</w:t>
            </w:r>
          </w:p>
          <w:p w14:paraId="76DD9381" w14:textId="77777777" w:rsidR="001C7E35" w:rsidRPr="000A5DBC" w:rsidRDefault="001C7E35" w:rsidP="00D835CF">
            <w:pPr>
              <w:pStyle w:val="Infotext"/>
              <w:rPr>
                <w:rFonts w:cs="Arial"/>
                <w:szCs w:val="28"/>
              </w:rPr>
            </w:pPr>
          </w:p>
        </w:tc>
      </w:tr>
      <w:tr w:rsidR="001C7E35" w14:paraId="3CC40C92" w14:textId="77777777" w:rsidTr="003634DA">
        <w:tc>
          <w:tcPr>
            <w:tcW w:w="3456" w:type="dxa"/>
          </w:tcPr>
          <w:p w14:paraId="53F0D3F0" w14:textId="77777777" w:rsidR="001C7E35" w:rsidRPr="00C13A5F" w:rsidRDefault="001C7E35" w:rsidP="003634DA">
            <w:pPr>
              <w:pStyle w:val="BodyText"/>
              <w:jc w:val="both"/>
              <w:rPr>
                <w:rFonts w:ascii="Arial Black" w:hAnsi="Arial Black"/>
              </w:rPr>
            </w:pPr>
          </w:p>
        </w:tc>
        <w:tc>
          <w:tcPr>
            <w:tcW w:w="6008" w:type="dxa"/>
          </w:tcPr>
          <w:p w14:paraId="5F0ACF6A" w14:textId="2E23C4BD" w:rsidR="001C7E35" w:rsidRPr="000A5DBC" w:rsidRDefault="001C7E35">
            <w:pPr>
              <w:pStyle w:val="Infotext"/>
              <w:jc w:val="both"/>
              <w:rPr>
                <w:rFonts w:cs="Arial"/>
                <w:color w:val="FF0000"/>
                <w:szCs w:val="28"/>
              </w:rPr>
            </w:pPr>
          </w:p>
        </w:tc>
      </w:tr>
      <w:tr w:rsidR="001C7E35" w14:paraId="15CDEAEB" w14:textId="77777777" w:rsidTr="003634DA">
        <w:tc>
          <w:tcPr>
            <w:tcW w:w="3456" w:type="dxa"/>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3ED12851" w:rsidR="001C7E35" w:rsidRPr="000A5DBC" w:rsidRDefault="001C7E35" w:rsidP="00C607DA">
            <w:pPr>
              <w:pStyle w:val="Infotext"/>
              <w:jc w:val="both"/>
              <w:rPr>
                <w:rFonts w:cs="Arial"/>
                <w:color w:val="FF0000"/>
                <w:szCs w:val="28"/>
              </w:rPr>
            </w:pPr>
            <w:r w:rsidRPr="000A5DBC">
              <w:rPr>
                <w:rFonts w:cs="Arial"/>
                <w:szCs w:val="28"/>
              </w:rPr>
              <w:t>No</w:t>
            </w:r>
          </w:p>
        </w:tc>
      </w:tr>
      <w:tr w:rsidR="001C7E35" w14:paraId="08EA475F" w14:textId="77777777" w:rsidTr="003634DA">
        <w:tc>
          <w:tcPr>
            <w:tcW w:w="3456" w:type="dxa"/>
          </w:tcPr>
          <w:p w14:paraId="52B1B326" w14:textId="77777777" w:rsidR="001C7E35" w:rsidRPr="00C13A5F" w:rsidRDefault="001C7E35" w:rsidP="003634DA">
            <w:pPr>
              <w:pStyle w:val="BodyText"/>
              <w:jc w:val="both"/>
              <w:rPr>
                <w:rFonts w:ascii="Arial Black" w:hAnsi="Arial Black"/>
              </w:rPr>
            </w:pPr>
          </w:p>
        </w:tc>
        <w:tc>
          <w:tcPr>
            <w:tcW w:w="6008" w:type="dxa"/>
          </w:tcPr>
          <w:p w14:paraId="0BE5C604" w14:textId="77777777" w:rsidR="00714BEE" w:rsidRPr="000A5DBC" w:rsidRDefault="00714BEE" w:rsidP="003634DA">
            <w:pPr>
              <w:jc w:val="both"/>
              <w:rPr>
                <w:rFonts w:cs="Arial"/>
                <w:sz w:val="28"/>
                <w:szCs w:val="28"/>
              </w:rPr>
            </w:pPr>
          </w:p>
        </w:tc>
      </w:tr>
      <w:tr w:rsidR="001C7E35" w14:paraId="0F8EADD0" w14:textId="77777777" w:rsidTr="003634DA">
        <w:tc>
          <w:tcPr>
            <w:tcW w:w="3456" w:type="dxa"/>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0A5DBC" w:rsidRDefault="005641E0" w:rsidP="003634DA">
            <w:pPr>
              <w:jc w:val="both"/>
              <w:rPr>
                <w:rFonts w:cs="Arial"/>
                <w:b/>
                <w:color w:val="FF0000"/>
                <w:sz w:val="28"/>
                <w:szCs w:val="28"/>
              </w:rPr>
            </w:pPr>
            <w:r w:rsidRPr="000A5DBC">
              <w:rPr>
                <w:rFonts w:cs="Arial"/>
                <w:sz w:val="28"/>
                <w:szCs w:val="28"/>
              </w:rPr>
              <w:t>All</w:t>
            </w:r>
            <w:r w:rsidR="00F370E5" w:rsidRPr="000A5DBC">
              <w:rPr>
                <w:rFonts w:cs="Arial"/>
                <w:sz w:val="28"/>
                <w:szCs w:val="28"/>
              </w:rPr>
              <w:t xml:space="preserve"> wards</w:t>
            </w:r>
          </w:p>
          <w:p w14:paraId="164FD442" w14:textId="77777777" w:rsidR="00307F76" w:rsidRPr="000A5DBC" w:rsidRDefault="00307F76" w:rsidP="003634DA">
            <w:pPr>
              <w:jc w:val="both"/>
              <w:rPr>
                <w:rFonts w:cs="Arial"/>
                <w:b/>
                <w:color w:val="FF0000"/>
                <w:sz w:val="28"/>
                <w:szCs w:val="28"/>
              </w:rPr>
            </w:pPr>
          </w:p>
        </w:tc>
      </w:tr>
      <w:tr w:rsidR="001C7E35" w:rsidRPr="00CE48E2" w14:paraId="19A099B8" w14:textId="77777777" w:rsidTr="003634DA">
        <w:tc>
          <w:tcPr>
            <w:tcW w:w="3456" w:type="dxa"/>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412E9ECE" w14:textId="77777777" w:rsidR="001C7E35" w:rsidRDefault="001C7E35" w:rsidP="003634DA">
            <w:pPr>
              <w:pStyle w:val="Infotext"/>
              <w:jc w:val="both"/>
              <w:rPr>
                <w:rFonts w:ascii="Arial Black" w:hAnsi="Arial Black" w:cs="Arial"/>
              </w:rPr>
            </w:pPr>
          </w:p>
          <w:p w14:paraId="70E0ACCB" w14:textId="77777777" w:rsidR="00C214FF" w:rsidRDefault="00C214FF" w:rsidP="003634DA">
            <w:pPr>
              <w:pStyle w:val="Infotext"/>
              <w:jc w:val="both"/>
              <w:rPr>
                <w:rFonts w:ascii="Arial Black" w:hAnsi="Arial Black" w:cs="Arial"/>
              </w:rPr>
            </w:pPr>
          </w:p>
          <w:p w14:paraId="3E72F014" w14:textId="77777777" w:rsidR="00C214FF" w:rsidRDefault="00C214FF" w:rsidP="003634DA">
            <w:pPr>
              <w:pStyle w:val="Infotext"/>
              <w:jc w:val="both"/>
              <w:rPr>
                <w:rFonts w:ascii="Arial Black" w:hAnsi="Arial Black" w:cs="Arial"/>
              </w:rPr>
            </w:pPr>
          </w:p>
          <w:p w14:paraId="3BB0F6EA" w14:textId="77777777" w:rsidR="00C214FF" w:rsidRDefault="00C214FF" w:rsidP="003634DA">
            <w:pPr>
              <w:pStyle w:val="Infotext"/>
              <w:jc w:val="both"/>
              <w:rPr>
                <w:rFonts w:ascii="Arial Black" w:hAnsi="Arial Black" w:cs="Arial"/>
              </w:rPr>
            </w:pPr>
          </w:p>
          <w:p w14:paraId="25A70118" w14:textId="77777777" w:rsidR="00C214FF" w:rsidRDefault="00C214FF" w:rsidP="003634DA">
            <w:pPr>
              <w:pStyle w:val="Infotext"/>
              <w:jc w:val="both"/>
              <w:rPr>
                <w:rFonts w:ascii="Arial Black" w:hAnsi="Arial Black" w:cs="Arial"/>
              </w:rPr>
            </w:pPr>
          </w:p>
          <w:p w14:paraId="76EDEBC8" w14:textId="77777777" w:rsidR="00C214FF" w:rsidRDefault="00C214FF" w:rsidP="003634DA">
            <w:pPr>
              <w:pStyle w:val="Infotext"/>
              <w:jc w:val="both"/>
              <w:rPr>
                <w:rFonts w:ascii="Arial Black" w:hAnsi="Arial Black" w:cs="Arial"/>
              </w:rPr>
            </w:pPr>
          </w:p>
          <w:p w14:paraId="33D887D9" w14:textId="77777777" w:rsidR="00C214FF" w:rsidRDefault="00C214FF" w:rsidP="003634DA">
            <w:pPr>
              <w:pStyle w:val="Infotext"/>
              <w:jc w:val="both"/>
              <w:rPr>
                <w:rFonts w:ascii="Arial Black" w:hAnsi="Arial Black" w:cs="Arial"/>
              </w:rPr>
            </w:pPr>
          </w:p>
          <w:p w14:paraId="7CA8ECC6" w14:textId="77777777" w:rsidR="00C214FF" w:rsidRDefault="00C214FF" w:rsidP="003634DA">
            <w:pPr>
              <w:pStyle w:val="Infotext"/>
              <w:jc w:val="both"/>
              <w:rPr>
                <w:rFonts w:ascii="Arial Black" w:hAnsi="Arial Black" w:cs="Arial"/>
              </w:rPr>
            </w:pPr>
          </w:p>
          <w:p w14:paraId="7A5C4DA5" w14:textId="77777777" w:rsidR="00582F64" w:rsidRDefault="00582F64" w:rsidP="003634DA">
            <w:pPr>
              <w:pStyle w:val="Infotext"/>
              <w:jc w:val="both"/>
              <w:rPr>
                <w:rFonts w:ascii="Arial Black" w:hAnsi="Arial Black" w:cs="Arial"/>
              </w:rPr>
            </w:pPr>
          </w:p>
          <w:p w14:paraId="395E7F17" w14:textId="77777777" w:rsidR="00582F64" w:rsidRDefault="00582F64" w:rsidP="003634DA">
            <w:pPr>
              <w:pStyle w:val="Infotext"/>
              <w:jc w:val="both"/>
              <w:rPr>
                <w:rFonts w:ascii="Arial Black" w:hAnsi="Arial Black" w:cs="Arial"/>
              </w:rPr>
            </w:pPr>
          </w:p>
          <w:p w14:paraId="6870E309" w14:textId="77777777" w:rsidR="00582F64" w:rsidRDefault="00582F64" w:rsidP="003634DA">
            <w:pPr>
              <w:pStyle w:val="Infotext"/>
              <w:jc w:val="both"/>
              <w:rPr>
                <w:rFonts w:ascii="Arial Black" w:hAnsi="Arial Black" w:cs="Arial"/>
              </w:rPr>
            </w:pPr>
          </w:p>
          <w:p w14:paraId="1E80962B" w14:textId="793E5C89" w:rsidR="00582F64" w:rsidRPr="00C13A5F" w:rsidRDefault="00582F64" w:rsidP="003634DA">
            <w:pPr>
              <w:pStyle w:val="Infotext"/>
              <w:jc w:val="both"/>
              <w:rPr>
                <w:rFonts w:ascii="Arial Black" w:hAnsi="Arial Black" w:cs="Arial"/>
              </w:rPr>
            </w:pPr>
          </w:p>
        </w:tc>
        <w:tc>
          <w:tcPr>
            <w:tcW w:w="6008" w:type="dxa"/>
          </w:tcPr>
          <w:p w14:paraId="45772EFF" w14:textId="5F9287EE" w:rsidR="00AB317E" w:rsidRPr="000A5DBC" w:rsidRDefault="00D43D71" w:rsidP="00C214FF">
            <w:pPr>
              <w:rPr>
                <w:rFonts w:cs="Arial"/>
                <w:color w:val="000000" w:themeColor="text1"/>
                <w:sz w:val="28"/>
                <w:szCs w:val="28"/>
              </w:rPr>
            </w:pPr>
            <w:r>
              <w:rPr>
                <w:rFonts w:cs="Arial"/>
                <w:color w:val="000000" w:themeColor="text1"/>
                <w:sz w:val="28"/>
                <w:szCs w:val="28"/>
              </w:rPr>
              <w:lastRenderedPageBreak/>
              <w:t>None</w:t>
            </w:r>
          </w:p>
          <w:p w14:paraId="011D4B19" w14:textId="5BD69C0D" w:rsidR="00FF4B18" w:rsidRPr="000A5DBC" w:rsidRDefault="00FF4B18" w:rsidP="003634DA">
            <w:pPr>
              <w:pStyle w:val="Infotext"/>
              <w:jc w:val="both"/>
              <w:rPr>
                <w:rFonts w:cs="Arial"/>
                <w:color w:val="FF0000"/>
                <w:szCs w:val="28"/>
              </w:rPr>
            </w:pPr>
          </w:p>
          <w:p w14:paraId="532D91BD" w14:textId="163CDDFF" w:rsidR="00FF4B18" w:rsidRPr="000A5DBC" w:rsidRDefault="00FF4B18" w:rsidP="003634DA">
            <w:pPr>
              <w:pStyle w:val="Infotext"/>
              <w:jc w:val="both"/>
              <w:rPr>
                <w:rFonts w:cs="Arial"/>
                <w:color w:val="FF0000"/>
                <w:szCs w:val="28"/>
              </w:rPr>
            </w:pPr>
          </w:p>
          <w:p w14:paraId="381D4D6A" w14:textId="572FA3D0" w:rsidR="00FF4B18" w:rsidRPr="000A5DBC" w:rsidRDefault="00FF4B18" w:rsidP="003634DA">
            <w:pPr>
              <w:pStyle w:val="Infotext"/>
              <w:jc w:val="both"/>
              <w:rPr>
                <w:rFonts w:cs="Arial"/>
                <w:color w:val="FF0000"/>
                <w:szCs w:val="28"/>
              </w:rPr>
            </w:pPr>
          </w:p>
          <w:p w14:paraId="59AC4744" w14:textId="470C4B91" w:rsidR="00FF4B18" w:rsidRPr="000A5DBC" w:rsidRDefault="00FF4B18" w:rsidP="003634DA">
            <w:pPr>
              <w:pStyle w:val="Infotext"/>
              <w:jc w:val="both"/>
              <w:rPr>
                <w:rFonts w:cs="Arial"/>
                <w:color w:val="FF0000"/>
                <w:szCs w:val="28"/>
              </w:rPr>
            </w:pPr>
          </w:p>
          <w:p w14:paraId="3DBBCDD2" w14:textId="77777777" w:rsidR="00854BE1" w:rsidRPr="000A5DBC" w:rsidRDefault="00854BE1" w:rsidP="003634DA">
            <w:pPr>
              <w:pStyle w:val="Infotext"/>
              <w:jc w:val="both"/>
              <w:rPr>
                <w:rFonts w:cs="Arial"/>
                <w:color w:val="FF0000"/>
                <w:szCs w:val="28"/>
              </w:rPr>
            </w:pPr>
          </w:p>
          <w:p w14:paraId="6D52E4A5" w14:textId="2A25380F" w:rsidR="00537469" w:rsidRPr="000A5DBC" w:rsidRDefault="00537469" w:rsidP="003634DA">
            <w:pPr>
              <w:pStyle w:val="Infotext"/>
              <w:jc w:val="both"/>
              <w:rPr>
                <w:rFonts w:cs="Arial"/>
                <w:color w:val="FF0000"/>
                <w:szCs w:val="28"/>
              </w:rPr>
            </w:pPr>
          </w:p>
          <w:p w14:paraId="70E45CFB" w14:textId="03CFF89B" w:rsidR="00825082" w:rsidRPr="000A5DBC" w:rsidRDefault="00825082" w:rsidP="003634DA">
            <w:pPr>
              <w:pStyle w:val="Infotext"/>
              <w:jc w:val="both"/>
              <w:rPr>
                <w:rFonts w:cs="Arial"/>
                <w:color w:val="FF0000"/>
                <w:szCs w:val="28"/>
              </w:rPr>
            </w:pPr>
          </w:p>
          <w:p w14:paraId="5C8109AE" w14:textId="77777777" w:rsidR="00825082" w:rsidRPr="000A5DBC" w:rsidRDefault="00825082" w:rsidP="003634DA">
            <w:pPr>
              <w:pStyle w:val="Infotext"/>
              <w:jc w:val="both"/>
              <w:rPr>
                <w:rFonts w:cs="Arial"/>
                <w:color w:val="FF0000"/>
                <w:szCs w:val="28"/>
              </w:rPr>
            </w:pPr>
          </w:p>
          <w:p w14:paraId="7062FEE3" w14:textId="77777777" w:rsidR="00FF4B18" w:rsidRPr="000A5DBC" w:rsidRDefault="00FF4B18" w:rsidP="003634DA">
            <w:pPr>
              <w:pStyle w:val="Infotext"/>
              <w:jc w:val="both"/>
              <w:rPr>
                <w:rFonts w:cs="Arial"/>
                <w:color w:val="FF0000"/>
                <w:szCs w:val="28"/>
              </w:rPr>
            </w:pPr>
          </w:p>
          <w:p w14:paraId="58B457FE" w14:textId="77777777" w:rsidR="001C7E35" w:rsidRPr="000A5DBC" w:rsidRDefault="001C7E35" w:rsidP="003634DA">
            <w:pPr>
              <w:pStyle w:val="Infotext"/>
              <w:jc w:val="both"/>
              <w:rPr>
                <w:color w:val="FF0000"/>
                <w:szCs w:val="28"/>
              </w:rPr>
            </w:pPr>
          </w:p>
        </w:tc>
      </w:tr>
      <w:tr w:rsidR="00333FAA" w14:paraId="2AD700D9"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Borders>
              <w:top w:val="nil"/>
              <w:left w:val="nil"/>
              <w:right w:val="nil"/>
            </w:tcBorders>
          </w:tcPr>
          <w:p w14:paraId="4E6A3993" w14:textId="77777777" w:rsidR="00333FAA" w:rsidRDefault="00333FAA" w:rsidP="00B20DCF">
            <w:pPr>
              <w:pStyle w:val="Heading1"/>
              <w:ind w:left="-105"/>
              <w:jc w:val="both"/>
            </w:pPr>
            <w:r>
              <w:t>Section 1 – Summary and Recommendations</w:t>
            </w:r>
          </w:p>
          <w:p w14:paraId="5C2FA4ED" w14:textId="77777777" w:rsidR="00333FAA" w:rsidRDefault="00333FAA" w:rsidP="003634DA">
            <w:pPr>
              <w:jc w:val="both"/>
            </w:pPr>
          </w:p>
        </w:tc>
      </w:tr>
      <w:tr w:rsidR="00333FAA" w:rsidRPr="00290F2F" w14:paraId="1FB28782"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Pr>
          <w:p w14:paraId="6358074F" w14:textId="77777777" w:rsidR="00D43D71" w:rsidRDefault="00D43D71" w:rsidP="00D43D71"/>
          <w:p w14:paraId="4AF3F6D1" w14:textId="58B2CC54" w:rsidR="00D43D71" w:rsidRPr="00D57DE9" w:rsidRDefault="00D43D71" w:rsidP="00D43D71">
            <w:r w:rsidRPr="00D57DE9">
              <w:t xml:space="preserve">This report provides a Mid-Year </w:t>
            </w:r>
            <w:r w:rsidR="00033463">
              <w:t>Update</w:t>
            </w:r>
            <w:r w:rsidRPr="00D57DE9">
              <w:t xml:space="preserve"> of the</w:t>
            </w:r>
            <w:r>
              <w:t xml:space="preserve"> Council’s</w:t>
            </w:r>
            <w:r w:rsidRPr="00D57DE9">
              <w:t xml:space="preserve"> Treasury Management activities in 202</w:t>
            </w:r>
            <w:r>
              <w:t>3</w:t>
            </w:r>
            <w:r w:rsidRPr="00D57DE9">
              <w:t>/2</w:t>
            </w:r>
            <w:r>
              <w:t>4</w:t>
            </w:r>
            <w:r w:rsidRPr="00D57DE9">
              <w:t xml:space="preserve"> in compliance with the </w:t>
            </w:r>
            <w:r w:rsidRPr="00EE6EF0">
              <w:t>Chartered Institute of Public Finance and Accountancy</w:t>
            </w:r>
            <w:r>
              <w:t xml:space="preserve"> (</w:t>
            </w:r>
            <w:r w:rsidRPr="00D57DE9">
              <w:t>CIPFA</w:t>
            </w:r>
            <w:r>
              <w:t>)</w:t>
            </w:r>
            <w:r w:rsidRPr="00D57DE9">
              <w:t xml:space="preserve"> Treasury Management Code of Practice.  </w:t>
            </w:r>
          </w:p>
          <w:p w14:paraId="49F5E268" w14:textId="77777777" w:rsidR="00A94722" w:rsidRPr="00F340D5" w:rsidRDefault="00A94722" w:rsidP="00D43D71">
            <w:pPr>
              <w:pStyle w:val="Heading3"/>
              <w:spacing w:before="240"/>
              <w:ind w:left="0" w:firstLine="0"/>
              <w:rPr>
                <w:i w:val="0"/>
                <w:iCs/>
              </w:rPr>
            </w:pPr>
            <w:r w:rsidRPr="00F340D5">
              <w:rPr>
                <w:i w:val="0"/>
                <w:iCs/>
              </w:rPr>
              <w:t xml:space="preserve">Recommendations: </w:t>
            </w:r>
          </w:p>
          <w:p w14:paraId="78FB9D40" w14:textId="422240C8" w:rsidR="00A94722" w:rsidRDefault="00A94722" w:rsidP="00A94722">
            <w:r>
              <w:t>C</w:t>
            </w:r>
            <w:r w:rsidR="00582F64">
              <w:t>ommittee</w:t>
            </w:r>
            <w:r>
              <w:t xml:space="preserve"> is requested to:</w:t>
            </w:r>
          </w:p>
          <w:p w14:paraId="67CC888C" w14:textId="77777777" w:rsidR="00A94722" w:rsidRDefault="00A94722" w:rsidP="00A94722"/>
          <w:p w14:paraId="2C9F5D12" w14:textId="7F5F22C4" w:rsidR="00A94722" w:rsidRDefault="00A94722" w:rsidP="00905780">
            <w:pPr>
              <w:pStyle w:val="ListParagraph"/>
              <w:numPr>
                <w:ilvl w:val="0"/>
                <w:numId w:val="4"/>
              </w:numPr>
            </w:pPr>
            <w:r>
              <w:t>N</w:t>
            </w:r>
            <w:r w:rsidRPr="00E41F8A">
              <w:t>ote</w:t>
            </w:r>
            <w:r>
              <w:t xml:space="preserve"> the</w:t>
            </w:r>
            <w:r w:rsidRPr="00E41F8A">
              <w:t xml:space="preserve"> </w:t>
            </w:r>
            <w:proofErr w:type="spellStart"/>
            <w:r w:rsidR="00D43D71">
              <w:t>Mid Year</w:t>
            </w:r>
            <w:proofErr w:type="spellEnd"/>
            <w:r w:rsidR="00D43D71">
              <w:t xml:space="preserve"> Treasury Management position for 2023/24</w:t>
            </w:r>
          </w:p>
          <w:p w14:paraId="7F2930CC" w14:textId="77777777" w:rsidR="00582F64" w:rsidRDefault="00582F64" w:rsidP="00582F64">
            <w:pPr>
              <w:pStyle w:val="ListParagraph"/>
            </w:pPr>
          </w:p>
          <w:p w14:paraId="7F237EF8" w14:textId="07036851" w:rsidR="00582F64" w:rsidRDefault="00582F64" w:rsidP="00905780">
            <w:pPr>
              <w:pStyle w:val="ListParagraph"/>
              <w:numPr>
                <w:ilvl w:val="0"/>
                <w:numId w:val="4"/>
              </w:numPr>
            </w:pPr>
            <w:r>
              <w:t>Refer this report to C</w:t>
            </w:r>
            <w:r w:rsidR="006E5ECA">
              <w:t>abinet</w:t>
            </w:r>
            <w:r w:rsidR="00705886">
              <w:t xml:space="preserve"> for </w:t>
            </w:r>
            <w:proofErr w:type="gramStart"/>
            <w:r w:rsidR="00705886">
              <w:t>noting</w:t>
            </w:r>
            <w:proofErr w:type="gramEnd"/>
          </w:p>
          <w:p w14:paraId="78C238D4" w14:textId="77777777" w:rsidR="00A94722" w:rsidRDefault="00A94722" w:rsidP="00A94722">
            <w:pPr>
              <w:pStyle w:val="ListParagraph"/>
            </w:pPr>
          </w:p>
          <w:p w14:paraId="070F311D" w14:textId="77777777" w:rsidR="00A94722" w:rsidRDefault="00A94722" w:rsidP="00A94722">
            <w:pPr>
              <w:pStyle w:val="Heading3"/>
              <w:ind w:left="0" w:firstLine="0"/>
              <w:jc w:val="left"/>
            </w:pPr>
            <w:r w:rsidRPr="00F340D5">
              <w:rPr>
                <w:i w:val="0"/>
                <w:iCs/>
              </w:rPr>
              <w:t>Reason:  (for recommendations)</w:t>
            </w:r>
            <w:r>
              <w:t xml:space="preserve">  </w:t>
            </w:r>
          </w:p>
          <w:p w14:paraId="6CDBEC31" w14:textId="77777777" w:rsidR="00A94722" w:rsidRPr="00F340D5" w:rsidRDefault="00A94722" w:rsidP="00A94722"/>
          <w:p w14:paraId="4C00F8A7" w14:textId="77777777" w:rsidR="00A94722" w:rsidRDefault="00A94722" w:rsidP="00905780">
            <w:pPr>
              <w:numPr>
                <w:ilvl w:val="0"/>
                <w:numId w:val="4"/>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Finance, </w:t>
            </w:r>
            <w:r w:rsidRPr="00C214FF">
              <w:t xml:space="preserve"> </w:t>
            </w:r>
            <w:r>
              <w:t>along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5FB32394" w:rsidR="00A94722" w:rsidRPr="00F340D5" w:rsidRDefault="00A94722" w:rsidP="00905780">
            <w:pPr>
              <w:numPr>
                <w:ilvl w:val="0"/>
                <w:numId w:val="4"/>
              </w:numPr>
              <w:jc w:val="both"/>
            </w:pPr>
            <w:r w:rsidRPr="00C214FF">
              <w:t>To keep Members informed of Treasury Management activities and performance</w:t>
            </w:r>
            <w:r>
              <w:t xml:space="preserve"> for 202</w:t>
            </w:r>
            <w:r w:rsidR="00D43D71">
              <w:t>3</w:t>
            </w:r>
            <w:r>
              <w:t>/2</w:t>
            </w:r>
            <w:r w:rsidR="00D43D71">
              <w:t>4</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5A31F3" w14:textId="77777777" w:rsidR="00C10137" w:rsidRPr="00290F2F" w:rsidRDefault="00C10137"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2085EFA7"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 xml:space="preserve">The </w:t>
      </w:r>
      <w:r w:rsidR="00D43D71" w:rsidRPr="00C27EEB">
        <w:rPr>
          <w:rFonts w:cs="Arial"/>
          <w:bCs/>
          <w:szCs w:val="24"/>
        </w:rPr>
        <w:t>purpose of this report is to update Members with the Council’s Treasury Management activity in 2023/24, presenting performance to 30</w:t>
      </w:r>
      <w:r w:rsidR="00D43D71" w:rsidRPr="00C27EEB">
        <w:rPr>
          <w:rFonts w:cs="Arial"/>
          <w:bCs/>
          <w:szCs w:val="24"/>
          <w:vertAlign w:val="superscript"/>
        </w:rPr>
        <w:t>th</w:t>
      </w:r>
      <w:r w:rsidR="00D43D71" w:rsidRPr="00C27EEB">
        <w:rPr>
          <w:rFonts w:cs="Arial"/>
          <w:bCs/>
          <w:szCs w:val="24"/>
        </w:rPr>
        <w:t xml:space="preserve"> September 2023 in accordance with the Council’s Treasury Management Practices and in compliance with the CIPFA Treasury Management Code of Practice</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6479D59D" w:rsidR="00205828" w:rsidRDefault="00205828" w:rsidP="00905780">
      <w:pPr>
        <w:pStyle w:val="ListParagraph"/>
        <w:numPr>
          <w:ilvl w:val="0"/>
          <w:numId w:val="2"/>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104DAAD" w14:textId="77777777" w:rsidR="00256C31" w:rsidRPr="00895AF7" w:rsidRDefault="00256C31" w:rsidP="00256C31">
      <w:pPr>
        <w:pStyle w:val="ListParagraph"/>
        <w:autoSpaceDE w:val="0"/>
        <w:autoSpaceDN w:val="0"/>
        <w:adjustRightInd w:val="0"/>
        <w:ind w:left="851"/>
        <w:jc w:val="both"/>
        <w:rPr>
          <w:rFonts w:cs="Arial"/>
          <w:szCs w:val="24"/>
          <w:lang w:eastAsia="en-GB"/>
        </w:rPr>
      </w:pPr>
    </w:p>
    <w:p w14:paraId="35593BAC" w14:textId="77777777" w:rsidR="00205828" w:rsidRPr="00895AF7" w:rsidRDefault="00205828" w:rsidP="00905780">
      <w:pPr>
        <w:pStyle w:val="ListParagraph"/>
        <w:numPr>
          <w:ilvl w:val="0"/>
          <w:numId w:val="2"/>
        </w:numPr>
        <w:tabs>
          <w:tab w:val="left" w:pos="709"/>
        </w:tabs>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6252AFE0" w14:textId="77777777" w:rsidR="00205828" w:rsidRDefault="00205828" w:rsidP="00C57F30">
      <w:pPr>
        <w:pStyle w:val="ListParagraph"/>
        <w:ind w:left="567"/>
        <w:jc w:val="both"/>
        <w:rPr>
          <w:rFonts w:cs="Arial"/>
          <w:iCs/>
          <w:szCs w:val="24"/>
        </w:rPr>
      </w:pPr>
    </w:p>
    <w:p w14:paraId="19321419" w14:textId="63364838" w:rsidR="00205828" w:rsidRPr="00745F95" w:rsidRDefault="00205828" w:rsidP="00905780">
      <w:pPr>
        <w:pStyle w:val="ListParagraph"/>
        <w:numPr>
          <w:ilvl w:val="1"/>
          <w:numId w:val="3"/>
        </w:numPr>
        <w:ind w:left="567" w:hanging="567"/>
        <w:jc w:val="both"/>
        <w:rPr>
          <w:rFonts w:cs="Arial"/>
          <w:bCs/>
          <w:szCs w:val="24"/>
        </w:rPr>
      </w:pPr>
      <w:r>
        <w:rPr>
          <w:rFonts w:cs="Arial"/>
          <w:bCs/>
          <w:szCs w:val="24"/>
        </w:rPr>
        <w:t>T</w:t>
      </w:r>
      <w:r w:rsidRPr="00745F95">
        <w:rPr>
          <w:rFonts w:cs="Arial"/>
          <w:bCs/>
          <w:szCs w:val="24"/>
        </w:rPr>
        <w: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10E363A3" w14:textId="77777777" w:rsidR="0055673A" w:rsidRPr="00CD5B85" w:rsidRDefault="0055673A" w:rsidP="00487CDB">
      <w:pPr>
        <w:pStyle w:val="ListParagraph"/>
        <w:spacing w:after="120"/>
        <w:ind w:left="689" w:right="306"/>
        <w:contextualSpacing/>
        <w:jc w:val="both"/>
        <w:rPr>
          <w:rFonts w:cs="Arial"/>
          <w:szCs w:val="24"/>
        </w:rPr>
      </w:pPr>
    </w:p>
    <w:p w14:paraId="1C26679D" w14:textId="77777777" w:rsidR="00905780" w:rsidRPr="00905780" w:rsidRDefault="00905780" w:rsidP="00905780">
      <w:pPr>
        <w:numPr>
          <w:ilvl w:val="0"/>
          <w:numId w:val="7"/>
        </w:numPr>
        <w:ind w:left="567" w:hanging="567"/>
        <w:outlineLvl w:val="1"/>
        <w:rPr>
          <w:rFonts w:cs="Arial"/>
          <w:b/>
          <w:bCs/>
          <w:sz w:val="28"/>
          <w:szCs w:val="28"/>
        </w:rPr>
      </w:pPr>
      <w:r w:rsidRPr="00905780">
        <w:rPr>
          <w:rFonts w:cs="Arial"/>
          <w:b/>
          <w:bCs/>
          <w:sz w:val="28"/>
          <w:szCs w:val="28"/>
        </w:rPr>
        <w:t>Reporting Requirements</w:t>
      </w:r>
    </w:p>
    <w:p w14:paraId="0861B2B4" w14:textId="77777777" w:rsidR="00905780" w:rsidRPr="00905780" w:rsidRDefault="00905780" w:rsidP="00905780">
      <w:pPr>
        <w:ind w:left="567" w:hanging="567"/>
      </w:pPr>
    </w:p>
    <w:p w14:paraId="27114D81" w14:textId="77777777" w:rsidR="00905780" w:rsidRPr="00905780" w:rsidRDefault="00905780" w:rsidP="00905780">
      <w:pPr>
        <w:numPr>
          <w:ilvl w:val="0"/>
          <w:numId w:val="7"/>
        </w:numPr>
        <w:ind w:left="567" w:hanging="567"/>
        <w:jc w:val="both"/>
        <w:rPr>
          <w:rFonts w:cs="Arial"/>
          <w:iCs/>
          <w:noProof/>
          <w:szCs w:val="24"/>
        </w:rPr>
      </w:pPr>
      <w:r w:rsidRPr="00905780">
        <w:rPr>
          <w:rFonts w:cs="Arial"/>
          <w:iCs/>
          <w:noProof/>
          <w:szCs w:val="24"/>
        </w:rPr>
        <w:t>The Council and/or Cabinet are required to receive and approve, as a minimum, three main reports each year, which incorporate a variety of policies, estimates and actuals.</w:t>
      </w:r>
    </w:p>
    <w:p w14:paraId="5DD7047C" w14:textId="77777777" w:rsidR="00905780" w:rsidRPr="00905780" w:rsidRDefault="00905780" w:rsidP="00905780">
      <w:pPr>
        <w:tabs>
          <w:tab w:val="left" w:pos="567"/>
        </w:tabs>
        <w:ind w:left="567" w:hanging="567"/>
        <w:jc w:val="both"/>
        <w:rPr>
          <w:rFonts w:cs="Arial"/>
          <w:iCs/>
          <w:noProof/>
          <w:szCs w:val="24"/>
        </w:rPr>
      </w:pPr>
      <w:r w:rsidRPr="00905780">
        <w:rPr>
          <w:rFonts w:cs="Arial"/>
          <w:iCs/>
          <w:noProof/>
          <w:szCs w:val="24"/>
        </w:rPr>
        <w:t xml:space="preserve">  </w:t>
      </w:r>
    </w:p>
    <w:p w14:paraId="1CD3F2D9" w14:textId="77777777" w:rsidR="00905780" w:rsidRPr="00905780" w:rsidRDefault="00905780" w:rsidP="00905780">
      <w:pPr>
        <w:numPr>
          <w:ilvl w:val="0"/>
          <w:numId w:val="7"/>
        </w:numPr>
        <w:ind w:left="567" w:hanging="567"/>
        <w:jc w:val="both"/>
        <w:rPr>
          <w:rFonts w:cs="Arial"/>
          <w:iCs/>
          <w:noProof/>
          <w:szCs w:val="24"/>
        </w:rPr>
      </w:pPr>
      <w:r w:rsidRPr="00905780">
        <w:rPr>
          <w:rFonts w:cs="Arial"/>
          <w:b/>
          <w:bCs/>
          <w:iCs/>
          <w:noProof/>
          <w:szCs w:val="24"/>
        </w:rPr>
        <w:t>Treasury Management Strategy Statement  Report</w:t>
      </w:r>
      <w:r w:rsidRPr="00905780">
        <w:rPr>
          <w:rFonts w:cs="Arial"/>
          <w:iCs/>
          <w:noProof/>
          <w:szCs w:val="24"/>
        </w:rPr>
        <w:t xml:space="preserve"> – The first, and most important report is presented to the Council in February and covers:</w:t>
      </w:r>
    </w:p>
    <w:p w14:paraId="0A183498" w14:textId="77777777" w:rsidR="00905780" w:rsidRPr="00905780" w:rsidRDefault="00905780" w:rsidP="00905780">
      <w:pPr>
        <w:ind w:left="567" w:hanging="567"/>
        <w:jc w:val="both"/>
        <w:rPr>
          <w:rFonts w:cs="Arial"/>
          <w:iCs/>
          <w:noProof/>
          <w:szCs w:val="24"/>
        </w:rPr>
      </w:pPr>
    </w:p>
    <w:p w14:paraId="5DA662D0" w14:textId="77777777" w:rsidR="00905780" w:rsidRPr="00905780" w:rsidRDefault="00905780" w:rsidP="00905780">
      <w:pPr>
        <w:numPr>
          <w:ilvl w:val="0"/>
          <w:numId w:val="2"/>
        </w:numPr>
        <w:autoSpaceDE w:val="0"/>
        <w:autoSpaceDN w:val="0"/>
        <w:adjustRightInd w:val="0"/>
        <w:ind w:left="1134" w:hanging="425"/>
        <w:jc w:val="both"/>
        <w:rPr>
          <w:rFonts w:cs="Arial"/>
          <w:szCs w:val="24"/>
          <w:lang w:eastAsia="en-GB"/>
        </w:rPr>
      </w:pPr>
      <w:r w:rsidRPr="00905780">
        <w:rPr>
          <w:rFonts w:cs="Arial"/>
          <w:szCs w:val="24"/>
          <w:lang w:eastAsia="en-GB"/>
        </w:rPr>
        <w:t>The Treasury Management Strategy Statement (TMSS), which details how the investments and borrowings for capital expenditure are to be organised, including Treasury Limits and Prudential Indicators.</w:t>
      </w:r>
    </w:p>
    <w:p w14:paraId="5329BD39" w14:textId="77777777" w:rsidR="00905780" w:rsidRPr="00905780" w:rsidRDefault="00905780" w:rsidP="00905780">
      <w:pPr>
        <w:numPr>
          <w:ilvl w:val="0"/>
          <w:numId w:val="2"/>
        </w:numPr>
        <w:autoSpaceDE w:val="0"/>
        <w:autoSpaceDN w:val="0"/>
        <w:adjustRightInd w:val="0"/>
        <w:ind w:left="1134" w:hanging="425"/>
        <w:jc w:val="both"/>
        <w:rPr>
          <w:rFonts w:cs="Arial"/>
          <w:szCs w:val="24"/>
          <w:lang w:eastAsia="en-GB"/>
        </w:rPr>
      </w:pPr>
      <w:r w:rsidRPr="00905780">
        <w:rPr>
          <w:rFonts w:cs="Arial"/>
          <w:szCs w:val="24"/>
          <w:lang w:eastAsia="en-GB"/>
        </w:rPr>
        <w:t>The Annual Investment Strategy which forms part of the TMSS, (the parameters on how investments are to be managed).</w:t>
      </w:r>
    </w:p>
    <w:p w14:paraId="034D109F" w14:textId="77777777" w:rsidR="00905780" w:rsidRPr="00905780" w:rsidRDefault="00905780" w:rsidP="00905780">
      <w:pPr>
        <w:numPr>
          <w:ilvl w:val="0"/>
          <w:numId w:val="2"/>
        </w:numPr>
        <w:autoSpaceDE w:val="0"/>
        <w:autoSpaceDN w:val="0"/>
        <w:adjustRightInd w:val="0"/>
        <w:ind w:left="1134" w:hanging="425"/>
        <w:jc w:val="both"/>
        <w:rPr>
          <w:rFonts w:cs="Arial"/>
          <w:szCs w:val="24"/>
          <w:lang w:eastAsia="en-GB"/>
        </w:rPr>
      </w:pPr>
      <w:r w:rsidRPr="00905780">
        <w:rPr>
          <w:rFonts w:cs="Arial"/>
          <w:szCs w:val="24"/>
          <w:lang w:eastAsia="en-GB"/>
        </w:rPr>
        <w:t>the MRP Policy (how capital expenditure is charged to revenue over time).</w:t>
      </w:r>
    </w:p>
    <w:p w14:paraId="3E83603B" w14:textId="77777777" w:rsidR="00905780" w:rsidRPr="00905780" w:rsidRDefault="00905780" w:rsidP="00905780">
      <w:pPr>
        <w:autoSpaceDE w:val="0"/>
        <w:autoSpaceDN w:val="0"/>
        <w:adjustRightInd w:val="0"/>
        <w:ind w:left="567" w:hanging="567"/>
        <w:jc w:val="both"/>
        <w:rPr>
          <w:rFonts w:cs="Arial"/>
          <w:szCs w:val="24"/>
          <w:lang w:eastAsia="en-GB"/>
        </w:rPr>
      </w:pPr>
    </w:p>
    <w:p w14:paraId="510F8151" w14:textId="77777777" w:rsidR="00905780" w:rsidRPr="00905780" w:rsidRDefault="00905780" w:rsidP="00905780">
      <w:pPr>
        <w:spacing w:before="45" w:after="45"/>
        <w:ind w:left="567"/>
        <w:jc w:val="both"/>
        <w:rPr>
          <w:rFonts w:cs="Arial"/>
          <w:b/>
          <w:bCs/>
          <w:noProof/>
          <w:szCs w:val="24"/>
        </w:rPr>
      </w:pPr>
      <w:r w:rsidRPr="00905780">
        <w:rPr>
          <w:rFonts w:cs="Arial"/>
          <w:b/>
          <w:bCs/>
          <w:noProof/>
          <w:szCs w:val="24"/>
        </w:rPr>
        <w:t xml:space="preserve">The 2023/24 TMSS was presented to Council on 23 February 2023. </w:t>
      </w:r>
    </w:p>
    <w:p w14:paraId="5AE0CEA6" w14:textId="77777777" w:rsidR="00905780" w:rsidRPr="00905780" w:rsidRDefault="00905780" w:rsidP="00905780">
      <w:pPr>
        <w:ind w:left="567" w:hanging="567"/>
        <w:jc w:val="both"/>
        <w:rPr>
          <w:rFonts w:cs="Arial"/>
          <w:iCs/>
          <w:noProof/>
          <w:sz w:val="22"/>
          <w:szCs w:val="22"/>
        </w:rPr>
      </w:pPr>
    </w:p>
    <w:p w14:paraId="7D64A86B" w14:textId="77777777" w:rsidR="00905780" w:rsidRPr="00905780" w:rsidRDefault="00905780" w:rsidP="00905780">
      <w:pPr>
        <w:numPr>
          <w:ilvl w:val="0"/>
          <w:numId w:val="7"/>
        </w:numPr>
        <w:ind w:left="567" w:hanging="567"/>
        <w:jc w:val="both"/>
        <w:rPr>
          <w:rFonts w:cs="Arial"/>
          <w:iCs/>
          <w:noProof/>
          <w:szCs w:val="24"/>
        </w:rPr>
      </w:pPr>
      <w:r w:rsidRPr="00905780">
        <w:rPr>
          <w:rFonts w:cs="Arial"/>
          <w:b/>
          <w:bCs/>
          <w:iCs/>
          <w:noProof/>
          <w:szCs w:val="24"/>
        </w:rPr>
        <w:t xml:space="preserve">Mid-Year Review Report </w:t>
      </w:r>
      <w:r w:rsidRPr="00905780">
        <w:rPr>
          <w:rFonts w:cs="Arial"/>
          <w:iCs/>
          <w:noProof/>
          <w:szCs w:val="24"/>
        </w:rPr>
        <w:t>– This is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199E0337" w14:textId="77777777" w:rsidR="00905780" w:rsidRPr="00905780" w:rsidRDefault="00905780" w:rsidP="00905780">
      <w:pPr>
        <w:ind w:left="567" w:hanging="567"/>
        <w:jc w:val="both"/>
        <w:rPr>
          <w:rFonts w:cs="Arial"/>
          <w:iCs/>
          <w:noProof/>
          <w:szCs w:val="24"/>
        </w:rPr>
      </w:pPr>
    </w:p>
    <w:p w14:paraId="5DEE0FA6" w14:textId="77777777" w:rsidR="00905780" w:rsidRPr="00905780" w:rsidRDefault="00905780" w:rsidP="00905780">
      <w:pPr>
        <w:ind w:left="567"/>
        <w:jc w:val="both"/>
        <w:rPr>
          <w:rFonts w:cs="Arial"/>
          <w:b/>
          <w:bCs/>
          <w:iCs/>
          <w:noProof/>
          <w:szCs w:val="24"/>
        </w:rPr>
      </w:pPr>
      <w:r w:rsidRPr="00905780">
        <w:rPr>
          <w:rFonts w:cs="Arial"/>
          <w:b/>
          <w:bCs/>
          <w:iCs/>
          <w:noProof/>
          <w:szCs w:val="24"/>
        </w:rPr>
        <w:t>This report fulfills the requirements of the the Mid-Year Review for 2023/24.</w:t>
      </w:r>
    </w:p>
    <w:p w14:paraId="10DB35C3" w14:textId="77777777" w:rsidR="00905780" w:rsidRPr="00905780" w:rsidRDefault="00905780" w:rsidP="00905780">
      <w:pPr>
        <w:ind w:left="567" w:hanging="567"/>
        <w:jc w:val="both"/>
        <w:rPr>
          <w:rFonts w:cs="Arial"/>
          <w:iCs/>
          <w:noProof/>
          <w:szCs w:val="24"/>
        </w:rPr>
      </w:pPr>
      <w:r w:rsidRPr="00905780">
        <w:rPr>
          <w:rFonts w:cs="Arial"/>
          <w:iCs/>
          <w:noProof/>
          <w:szCs w:val="24"/>
        </w:rPr>
        <w:t xml:space="preserve"> </w:t>
      </w:r>
    </w:p>
    <w:p w14:paraId="44AA473E" w14:textId="77777777" w:rsidR="00905780" w:rsidRPr="00905780" w:rsidRDefault="00905780" w:rsidP="00905780">
      <w:pPr>
        <w:numPr>
          <w:ilvl w:val="0"/>
          <w:numId w:val="7"/>
        </w:numPr>
        <w:ind w:left="567" w:hanging="567"/>
        <w:jc w:val="both"/>
        <w:rPr>
          <w:rFonts w:cs="Arial"/>
          <w:iCs/>
          <w:noProof/>
          <w:szCs w:val="24"/>
        </w:rPr>
      </w:pPr>
      <w:r w:rsidRPr="00905780">
        <w:rPr>
          <w:rFonts w:cs="Arial"/>
          <w:b/>
          <w:bCs/>
          <w:iCs/>
          <w:noProof/>
          <w:szCs w:val="24"/>
        </w:rPr>
        <w:t>Treasury Management Outturn Report</w:t>
      </w:r>
      <w:r w:rsidRPr="00905780">
        <w:rPr>
          <w:rFonts w:cs="Arial"/>
          <w:iCs/>
          <w:noProof/>
          <w:szCs w:val="24"/>
        </w:rPr>
        <w:t xml:space="preserve"> – This is typically presented to Cabinet in June/July and provides details of a selection of actual prudential and treasury indicators and actual treasury operations compared to the estimates within the TMSS and Mid-Year Reports.</w:t>
      </w:r>
    </w:p>
    <w:p w14:paraId="537BE15A" w14:textId="77777777" w:rsidR="00905780" w:rsidRPr="00905780" w:rsidRDefault="00905780" w:rsidP="00905780">
      <w:pPr>
        <w:ind w:left="567" w:hanging="567"/>
        <w:jc w:val="both"/>
        <w:rPr>
          <w:rFonts w:cs="Arial"/>
          <w:iCs/>
          <w:noProof/>
          <w:sz w:val="22"/>
          <w:szCs w:val="22"/>
        </w:rPr>
      </w:pPr>
    </w:p>
    <w:p w14:paraId="52810CA4" w14:textId="77777777" w:rsidR="00905780" w:rsidRPr="00905780" w:rsidRDefault="00905780" w:rsidP="00905780">
      <w:pPr>
        <w:ind w:left="567"/>
        <w:jc w:val="both"/>
        <w:rPr>
          <w:rFonts w:cs="Arial"/>
          <w:iCs/>
          <w:noProof/>
          <w:szCs w:val="24"/>
        </w:rPr>
      </w:pPr>
      <w:r w:rsidRPr="00905780">
        <w:rPr>
          <w:rFonts w:cs="Arial"/>
          <w:b/>
          <w:bCs/>
          <w:iCs/>
          <w:noProof/>
          <w:szCs w:val="24"/>
        </w:rPr>
        <w:t>Scrutiny</w:t>
      </w:r>
      <w:r w:rsidRPr="00905780">
        <w:rPr>
          <w:rFonts w:cs="Arial"/>
          <w:iCs/>
          <w:noProof/>
          <w:szCs w:val="24"/>
        </w:rPr>
        <w:t xml:space="preserve"> – The above reports are required to be adequately scrutinised, normally before being recommended to Cabinet/Council, with the role being undertaken by the Governance, Audit, Risk Management and Standards Committee (GARMS).  The Council has complied with the CIPFA Treasury Management Code of Practice to the extent that all Treasury Management reports have been scrutinised.</w:t>
      </w:r>
    </w:p>
    <w:p w14:paraId="3BCECC57" w14:textId="77777777" w:rsidR="00905780" w:rsidRPr="00905780" w:rsidRDefault="00905780" w:rsidP="00905780">
      <w:pPr>
        <w:ind w:left="567" w:hanging="567"/>
        <w:jc w:val="both"/>
        <w:rPr>
          <w:rFonts w:cs="Arial"/>
          <w:iCs/>
          <w:noProof/>
          <w:szCs w:val="24"/>
        </w:rPr>
      </w:pPr>
    </w:p>
    <w:p w14:paraId="0781FA81" w14:textId="77777777" w:rsidR="00905780" w:rsidRPr="00905780" w:rsidRDefault="00905780" w:rsidP="00905780">
      <w:pPr>
        <w:numPr>
          <w:ilvl w:val="0"/>
          <w:numId w:val="7"/>
        </w:numPr>
        <w:ind w:left="567" w:hanging="567"/>
        <w:jc w:val="both"/>
        <w:rPr>
          <w:rFonts w:cs="Arial"/>
          <w:iCs/>
          <w:noProof/>
          <w:szCs w:val="24"/>
        </w:rPr>
      </w:pPr>
      <w:r w:rsidRPr="00905780">
        <w:rPr>
          <w:rFonts w:cs="Arial"/>
          <w:iCs/>
          <w:noProof/>
          <w:szCs w:val="24"/>
        </w:rPr>
        <w:t xml:space="preserve">The Council has delegated responsibility for the implementation and regular monitoring of its treasury management policies and practices to the Section 151 </w:t>
      </w:r>
      <w:r w:rsidRPr="00905780">
        <w:rPr>
          <w:rFonts w:cs="Arial"/>
          <w:iCs/>
          <w:noProof/>
          <w:szCs w:val="24"/>
        </w:rPr>
        <w:lastRenderedPageBreak/>
        <w:t>Officer. The Section 151 Officer chairs the Treasury Management Group (TMG), which monitors the treasury management activity and market conditions monthly.</w:t>
      </w:r>
    </w:p>
    <w:p w14:paraId="2073D2A0" w14:textId="77777777" w:rsidR="00905780" w:rsidRPr="00905780" w:rsidRDefault="00905780" w:rsidP="00905780">
      <w:pPr>
        <w:numPr>
          <w:ilvl w:val="0"/>
          <w:numId w:val="8"/>
        </w:numPr>
        <w:spacing w:before="240"/>
        <w:ind w:left="567" w:hanging="567"/>
        <w:outlineLvl w:val="2"/>
        <w:rPr>
          <w:rFonts w:cs="Arial"/>
          <w:b/>
          <w:bCs/>
          <w:sz w:val="28"/>
          <w:szCs w:val="28"/>
        </w:rPr>
      </w:pPr>
      <w:r w:rsidRPr="00905780">
        <w:rPr>
          <w:rFonts w:cs="Arial"/>
          <w:b/>
          <w:bCs/>
          <w:sz w:val="28"/>
          <w:szCs w:val="28"/>
        </w:rPr>
        <w:t xml:space="preserve">Options </w:t>
      </w:r>
      <w:proofErr w:type="gramStart"/>
      <w:r w:rsidRPr="00905780">
        <w:rPr>
          <w:rFonts w:cs="Arial"/>
          <w:b/>
          <w:bCs/>
          <w:sz w:val="28"/>
          <w:szCs w:val="28"/>
        </w:rPr>
        <w:t>considered</w:t>
      </w:r>
      <w:proofErr w:type="gramEnd"/>
      <w:r w:rsidRPr="00905780">
        <w:rPr>
          <w:rFonts w:cs="Arial"/>
          <w:b/>
          <w:bCs/>
          <w:sz w:val="28"/>
          <w:szCs w:val="28"/>
        </w:rPr>
        <w:t xml:space="preserve">  </w:t>
      </w:r>
    </w:p>
    <w:p w14:paraId="1663FA9A" w14:textId="77777777" w:rsidR="00905780" w:rsidRPr="00905780" w:rsidRDefault="00905780" w:rsidP="00905780">
      <w:pPr>
        <w:tabs>
          <w:tab w:val="left" w:pos="567"/>
        </w:tabs>
        <w:ind w:left="567" w:hanging="567"/>
        <w:jc w:val="both"/>
        <w:rPr>
          <w:rFonts w:cs="Arial"/>
          <w:szCs w:val="24"/>
        </w:rPr>
      </w:pPr>
    </w:p>
    <w:p w14:paraId="14919B72" w14:textId="77B7D32A" w:rsidR="00905780" w:rsidRPr="00905780" w:rsidRDefault="00FE437A" w:rsidP="00905780">
      <w:pPr>
        <w:numPr>
          <w:ilvl w:val="0"/>
          <w:numId w:val="8"/>
        </w:numPr>
        <w:tabs>
          <w:tab w:val="left" w:pos="0"/>
        </w:tabs>
        <w:ind w:left="567" w:hanging="567"/>
        <w:jc w:val="both"/>
      </w:pPr>
      <w:r>
        <w:rPr>
          <w:rFonts w:cs="Arial"/>
          <w:szCs w:val="24"/>
        </w:rPr>
        <w:t>N/A</w:t>
      </w:r>
    </w:p>
    <w:p w14:paraId="3105326A" w14:textId="77777777" w:rsidR="00905780" w:rsidRPr="00905780" w:rsidRDefault="00905780" w:rsidP="00905780">
      <w:pPr>
        <w:ind w:left="567" w:hanging="567"/>
      </w:pPr>
    </w:p>
    <w:p w14:paraId="2F6BE9B8" w14:textId="77777777" w:rsidR="00905780" w:rsidRPr="00905780" w:rsidRDefault="00905780" w:rsidP="00905780">
      <w:pPr>
        <w:numPr>
          <w:ilvl w:val="0"/>
          <w:numId w:val="9"/>
        </w:numPr>
        <w:ind w:left="567" w:hanging="567"/>
        <w:outlineLvl w:val="1"/>
        <w:rPr>
          <w:rFonts w:cs="Arial"/>
          <w:b/>
          <w:bCs/>
          <w:sz w:val="28"/>
          <w:szCs w:val="28"/>
        </w:rPr>
      </w:pPr>
      <w:r w:rsidRPr="00905780">
        <w:rPr>
          <w:rFonts w:cs="Arial"/>
          <w:b/>
          <w:bCs/>
          <w:sz w:val="28"/>
          <w:szCs w:val="28"/>
        </w:rPr>
        <w:t>Treasury Management Strategy Statement and Annual Investment Strategy Update</w:t>
      </w:r>
    </w:p>
    <w:p w14:paraId="59F2102F" w14:textId="77777777" w:rsidR="00905780" w:rsidRPr="00905780" w:rsidRDefault="00905780" w:rsidP="00905780">
      <w:pPr>
        <w:ind w:left="567" w:hanging="567"/>
        <w:rPr>
          <w:lang w:val="en-AU"/>
        </w:rPr>
      </w:pPr>
    </w:p>
    <w:p w14:paraId="3663BAD5" w14:textId="77777777" w:rsidR="00905780" w:rsidRPr="00905780" w:rsidRDefault="00905780" w:rsidP="00905780">
      <w:pPr>
        <w:numPr>
          <w:ilvl w:val="0"/>
          <w:numId w:val="10"/>
        </w:numPr>
        <w:tabs>
          <w:tab w:val="left" w:pos="0"/>
        </w:tabs>
        <w:ind w:left="567" w:hanging="567"/>
        <w:jc w:val="both"/>
        <w:rPr>
          <w:rFonts w:cs="Arial"/>
          <w:szCs w:val="24"/>
        </w:rPr>
      </w:pPr>
      <w:r w:rsidRPr="00905780">
        <w:rPr>
          <w:rFonts w:cs="Arial"/>
          <w:szCs w:val="24"/>
        </w:rPr>
        <w:t xml:space="preserve">The Treasury Management Strategy Statement, (TMSS), for 2023/24 was approved by Council on 23 February 2023. </w:t>
      </w:r>
    </w:p>
    <w:p w14:paraId="2B035C77" w14:textId="77777777" w:rsidR="00905780" w:rsidRPr="00905780" w:rsidRDefault="00905780" w:rsidP="00905780">
      <w:pPr>
        <w:ind w:left="567" w:hanging="567"/>
        <w:rPr>
          <w:rFonts w:cs="Arial"/>
          <w:bCs/>
          <w:szCs w:val="24"/>
          <w:lang w:eastAsia="en-GB"/>
        </w:rPr>
      </w:pPr>
    </w:p>
    <w:p w14:paraId="3AFF07F7" w14:textId="79F7AF9A" w:rsidR="00905780" w:rsidRPr="00905780" w:rsidRDefault="00905780" w:rsidP="00905780">
      <w:pPr>
        <w:numPr>
          <w:ilvl w:val="0"/>
          <w:numId w:val="10"/>
        </w:numPr>
        <w:tabs>
          <w:tab w:val="left" w:pos="0"/>
        </w:tabs>
        <w:ind w:left="567" w:hanging="567"/>
        <w:jc w:val="both"/>
        <w:rPr>
          <w:rFonts w:cs="Arial"/>
          <w:bCs/>
          <w:szCs w:val="24"/>
          <w:lang w:eastAsia="en-GB"/>
        </w:rPr>
      </w:pPr>
      <w:r w:rsidRPr="00905780">
        <w:rPr>
          <w:rFonts w:cs="Arial"/>
          <w:szCs w:val="24"/>
        </w:rPr>
        <w:t xml:space="preserve">There are no policy changes proposed to the TMSS approved for 2023/24; the details in this report update the position in the light of the updated economic environment, budgetary changes and revised capital programme outturn forecast contained in the 2023/24 Q2 </w:t>
      </w:r>
      <w:r w:rsidR="00381A3E">
        <w:rPr>
          <w:rFonts w:cs="Arial"/>
          <w:szCs w:val="24"/>
        </w:rPr>
        <w:t xml:space="preserve">Revenue and </w:t>
      </w:r>
      <w:r w:rsidRPr="00905780">
        <w:rPr>
          <w:rFonts w:cs="Arial"/>
          <w:szCs w:val="24"/>
        </w:rPr>
        <w:t xml:space="preserve">Capital </w:t>
      </w:r>
      <w:r w:rsidRPr="00905780">
        <w:t xml:space="preserve">Budget Monitoring Report </w:t>
      </w:r>
      <w:r w:rsidR="00381A3E">
        <w:t>being</w:t>
      </w:r>
      <w:r w:rsidRPr="00905780">
        <w:t xml:space="preserve"> presented </w:t>
      </w:r>
      <w:r w:rsidR="00381A3E">
        <w:t>to Cabinet on 19</w:t>
      </w:r>
      <w:r w:rsidR="00381A3E" w:rsidRPr="00381A3E">
        <w:rPr>
          <w:vertAlign w:val="superscript"/>
        </w:rPr>
        <w:t>th</w:t>
      </w:r>
      <w:r w:rsidR="00381A3E">
        <w:t xml:space="preserve"> December 2023</w:t>
      </w:r>
      <w:r w:rsidRPr="00905780">
        <w:t>.</w:t>
      </w:r>
    </w:p>
    <w:p w14:paraId="64E15430" w14:textId="77777777" w:rsidR="00905780" w:rsidRPr="00905780" w:rsidRDefault="00905780" w:rsidP="00905780">
      <w:pPr>
        <w:ind w:left="567" w:hanging="567"/>
        <w:jc w:val="both"/>
        <w:rPr>
          <w:rFonts w:cs="Arial"/>
          <w:bCs/>
          <w:szCs w:val="24"/>
          <w:highlight w:val="yellow"/>
        </w:rPr>
      </w:pPr>
    </w:p>
    <w:p w14:paraId="33679DE3" w14:textId="77777777" w:rsidR="00905780" w:rsidRPr="00905780" w:rsidRDefault="00905780" w:rsidP="00905780">
      <w:pPr>
        <w:numPr>
          <w:ilvl w:val="0"/>
          <w:numId w:val="11"/>
        </w:numPr>
        <w:ind w:left="567" w:hanging="567"/>
        <w:outlineLvl w:val="1"/>
        <w:rPr>
          <w:rFonts w:cs="Arial"/>
          <w:b/>
          <w:bCs/>
          <w:sz w:val="28"/>
          <w:szCs w:val="28"/>
        </w:rPr>
      </w:pPr>
      <w:r w:rsidRPr="00905780">
        <w:rPr>
          <w:rFonts w:cs="Arial"/>
          <w:b/>
          <w:bCs/>
          <w:sz w:val="28"/>
          <w:szCs w:val="28"/>
        </w:rPr>
        <w:t xml:space="preserve">Compliance with Prudential Indicators </w:t>
      </w:r>
    </w:p>
    <w:p w14:paraId="2920EF3F" w14:textId="77777777" w:rsidR="00905780" w:rsidRPr="00905780" w:rsidRDefault="00905780" w:rsidP="00905780">
      <w:pPr>
        <w:ind w:left="567" w:hanging="567"/>
        <w:jc w:val="both"/>
        <w:rPr>
          <w:rFonts w:cs="Arial"/>
          <w:bCs/>
          <w:szCs w:val="24"/>
        </w:rPr>
      </w:pPr>
    </w:p>
    <w:p w14:paraId="6F871F4C"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It is a statutory duty for the Council to determine and keep under review its affordable borrowing limits.  The Council has operated within the Treasury and Prudential Indicators set out in the Council’s Treasury Management Strategy Statement for 2023/24 during the half year ended 30</w:t>
      </w:r>
      <w:r w:rsidRPr="00905780">
        <w:rPr>
          <w:color w:val="0D0D0D" w:themeColor="text1" w:themeTint="F2"/>
          <w:vertAlign w:val="superscript"/>
        </w:rPr>
        <w:t xml:space="preserve"> </w:t>
      </w:r>
      <w:r w:rsidRPr="00905780">
        <w:rPr>
          <w:color w:val="0D0D0D" w:themeColor="text1" w:themeTint="F2"/>
        </w:rPr>
        <w:t>September 2023 (and up to 21 November 2023 at the point this report was despatched).</w:t>
      </w:r>
    </w:p>
    <w:p w14:paraId="2DC89787" w14:textId="77777777" w:rsidR="00905780" w:rsidRPr="00905780" w:rsidRDefault="00905780" w:rsidP="00905780">
      <w:pPr>
        <w:ind w:left="567" w:hanging="567"/>
        <w:jc w:val="both"/>
        <w:rPr>
          <w:color w:val="0D0D0D" w:themeColor="text1" w:themeTint="F2"/>
        </w:rPr>
      </w:pPr>
    </w:p>
    <w:p w14:paraId="0369E5B2"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All treasury management operations have been conducted in full compliance with the Council's Treasury Management Practices.</w:t>
      </w:r>
    </w:p>
    <w:p w14:paraId="109D945D" w14:textId="77777777" w:rsidR="00905780" w:rsidRPr="00905780" w:rsidRDefault="00905780" w:rsidP="00905780">
      <w:pPr>
        <w:ind w:left="567" w:hanging="567"/>
        <w:jc w:val="both"/>
        <w:rPr>
          <w:rFonts w:cs="Arial"/>
          <w:bCs/>
          <w:szCs w:val="24"/>
          <w:highlight w:val="yellow"/>
        </w:rPr>
      </w:pPr>
    </w:p>
    <w:p w14:paraId="08517E31" w14:textId="1BB1ACE4" w:rsidR="00905780" w:rsidRPr="00905780" w:rsidRDefault="00905780" w:rsidP="00905780">
      <w:pPr>
        <w:keepNext/>
        <w:tabs>
          <w:tab w:val="left" w:pos="3600"/>
        </w:tabs>
        <w:ind w:left="567" w:hanging="567"/>
        <w:outlineLvl w:val="3"/>
        <w:rPr>
          <w:rFonts w:cs="Arial"/>
          <w:b/>
          <w:szCs w:val="24"/>
        </w:rPr>
      </w:pPr>
      <w:r>
        <w:rPr>
          <w:rFonts w:cs="Arial"/>
          <w:b/>
          <w:szCs w:val="24"/>
        </w:rPr>
        <w:tab/>
      </w:r>
      <w:r w:rsidRPr="00905780">
        <w:rPr>
          <w:rFonts w:cs="Arial"/>
          <w:b/>
          <w:szCs w:val="24"/>
        </w:rPr>
        <w:t>Prudential Indicator for Capital Expenditure</w:t>
      </w:r>
    </w:p>
    <w:p w14:paraId="3962DF70"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 xml:space="preserve">The Council’s Capital Programme is a key driver of Treasury Management activity.  The output of the Capital Programme is reflected in the statutory prudential indicators, which are designed to provide Member’s with an overview of the impact of the capital expenditure plans and ensure that these remain prudent, </w:t>
      </w:r>
      <w:proofErr w:type="gramStart"/>
      <w:r w:rsidRPr="00905780">
        <w:rPr>
          <w:color w:val="0D0D0D" w:themeColor="text1" w:themeTint="F2"/>
        </w:rPr>
        <w:t>affordable</w:t>
      </w:r>
      <w:proofErr w:type="gramEnd"/>
      <w:r w:rsidRPr="00905780">
        <w:rPr>
          <w:color w:val="0D0D0D" w:themeColor="text1" w:themeTint="F2"/>
        </w:rPr>
        <w:t xml:space="preserve"> and sustainable. </w:t>
      </w:r>
    </w:p>
    <w:p w14:paraId="2122AA06" w14:textId="77777777" w:rsidR="00905780" w:rsidRPr="00905780" w:rsidRDefault="00905780" w:rsidP="00905780">
      <w:pPr>
        <w:ind w:left="567" w:hanging="567"/>
        <w:jc w:val="both"/>
        <w:rPr>
          <w:rFonts w:cs="Arial"/>
          <w:bCs/>
          <w:szCs w:val="24"/>
          <w:highlight w:val="yellow"/>
        </w:rPr>
      </w:pPr>
    </w:p>
    <w:p w14:paraId="49E175F4" w14:textId="19F18E82"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Table 1 shows the revised budget and the forecast outturn for 2023/24</w:t>
      </w:r>
      <w:r w:rsidRPr="00033463">
        <w:rPr>
          <w:color w:val="0D0D0D" w:themeColor="text1" w:themeTint="F2"/>
        </w:rPr>
        <w:t xml:space="preserve">. The original budget for 2023/24 </w:t>
      </w:r>
      <w:r w:rsidR="00FE437A" w:rsidRPr="00033463">
        <w:rPr>
          <w:color w:val="0D0D0D" w:themeColor="text1" w:themeTint="F2"/>
        </w:rPr>
        <w:t>was</w:t>
      </w:r>
      <w:r w:rsidRPr="00033463">
        <w:rPr>
          <w:color w:val="0D0D0D" w:themeColor="text1" w:themeTint="F2"/>
        </w:rPr>
        <w:t xml:space="preserve"> agreed at Council in February 2023.  The revised budget reflects updates to the 2023/24 original budget to reflect slippage from the 2022/23 capital outturn which has been rolled forward into 2023/24. The forecast</w:t>
      </w:r>
      <w:r w:rsidRPr="00905780">
        <w:rPr>
          <w:color w:val="0D0D0D" w:themeColor="text1" w:themeTint="F2"/>
        </w:rPr>
        <w:t xml:space="preserve"> outturn reflects the estimated capital spend for the full year.  </w:t>
      </w:r>
    </w:p>
    <w:p w14:paraId="6977004F" w14:textId="77777777" w:rsidR="00905780" w:rsidRPr="00905780" w:rsidRDefault="00905780" w:rsidP="00905780">
      <w:pPr>
        <w:ind w:left="567" w:hanging="567"/>
        <w:rPr>
          <w:color w:val="0D0D0D" w:themeColor="text1" w:themeTint="F2"/>
        </w:rPr>
      </w:pPr>
      <w:r w:rsidRPr="00905780">
        <w:rPr>
          <w:color w:val="0D0D0D" w:themeColor="text1" w:themeTint="F2"/>
        </w:rPr>
        <w:br w:type="page"/>
      </w:r>
    </w:p>
    <w:tbl>
      <w:tblPr>
        <w:tblW w:w="6420" w:type="dxa"/>
        <w:tblInd w:w="567" w:type="dxa"/>
        <w:tblLook w:val="04A0" w:firstRow="1" w:lastRow="0" w:firstColumn="1" w:lastColumn="0" w:noHBand="0" w:noVBand="1"/>
      </w:tblPr>
      <w:tblGrid>
        <w:gridCol w:w="3289"/>
        <w:gridCol w:w="1541"/>
        <w:gridCol w:w="1590"/>
      </w:tblGrid>
      <w:tr w:rsidR="00905780" w:rsidRPr="00905780" w14:paraId="1B33A233" w14:textId="77777777" w:rsidTr="00905780">
        <w:trPr>
          <w:trHeight w:val="300"/>
        </w:trPr>
        <w:tc>
          <w:tcPr>
            <w:tcW w:w="4830" w:type="dxa"/>
            <w:gridSpan w:val="2"/>
            <w:tcBorders>
              <w:top w:val="nil"/>
              <w:left w:val="nil"/>
              <w:bottom w:val="single" w:sz="8" w:space="0" w:color="auto"/>
              <w:right w:val="nil"/>
            </w:tcBorders>
            <w:shd w:val="clear" w:color="auto" w:fill="auto"/>
            <w:vAlign w:val="center"/>
            <w:hideMark/>
          </w:tcPr>
          <w:p w14:paraId="7AB2EBB1"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lastRenderedPageBreak/>
              <w:t>Table 1 - Capital Expenditure</w:t>
            </w:r>
          </w:p>
        </w:tc>
        <w:tc>
          <w:tcPr>
            <w:tcW w:w="1590" w:type="dxa"/>
            <w:tcBorders>
              <w:top w:val="nil"/>
              <w:left w:val="nil"/>
              <w:bottom w:val="nil"/>
              <w:right w:val="nil"/>
            </w:tcBorders>
            <w:shd w:val="clear" w:color="auto" w:fill="auto"/>
            <w:noWrap/>
            <w:vAlign w:val="bottom"/>
            <w:hideMark/>
          </w:tcPr>
          <w:p w14:paraId="3D08F1DE" w14:textId="77777777" w:rsidR="00905780" w:rsidRPr="00905780" w:rsidRDefault="00905780" w:rsidP="00905780">
            <w:pPr>
              <w:ind w:left="567" w:hanging="567"/>
              <w:rPr>
                <w:rFonts w:cs="Arial"/>
                <w:b/>
                <w:bCs/>
                <w:color w:val="000000"/>
                <w:sz w:val="22"/>
                <w:szCs w:val="22"/>
                <w:lang w:eastAsia="en-GB"/>
              </w:rPr>
            </w:pPr>
          </w:p>
        </w:tc>
      </w:tr>
      <w:tr w:rsidR="00905780" w:rsidRPr="00905780" w14:paraId="4FBA48FE" w14:textId="77777777" w:rsidTr="00905780">
        <w:trPr>
          <w:trHeight w:val="290"/>
        </w:trPr>
        <w:tc>
          <w:tcPr>
            <w:tcW w:w="3289"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26E23C1F"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Capital expenditure</w:t>
            </w:r>
          </w:p>
        </w:tc>
        <w:tc>
          <w:tcPr>
            <w:tcW w:w="1541" w:type="dxa"/>
            <w:tcBorders>
              <w:top w:val="nil"/>
              <w:left w:val="nil"/>
              <w:bottom w:val="nil"/>
              <w:right w:val="single" w:sz="8" w:space="0" w:color="auto"/>
            </w:tcBorders>
            <w:shd w:val="clear" w:color="000000" w:fill="B3B3B3"/>
            <w:vAlign w:val="center"/>
            <w:hideMark/>
          </w:tcPr>
          <w:p w14:paraId="50293093"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2023/24</w:t>
            </w:r>
          </w:p>
        </w:tc>
        <w:tc>
          <w:tcPr>
            <w:tcW w:w="1590" w:type="dxa"/>
            <w:tcBorders>
              <w:top w:val="single" w:sz="8" w:space="0" w:color="auto"/>
              <w:left w:val="nil"/>
              <w:bottom w:val="nil"/>
              <w:right w:val="single" w:sz="8" w:space="0" w:color="auto"/>
            </w:tcBorders>
            <w:shd w:val="clear" w:color="000000" w:fill="B3B3B3"/>
            <w:vAlign w:val="center"/>
            <w:hideMark/>
          </w:tcPr>
          <w:p w14:paraId="573963E6"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2023/24</w:t>
            </w:r>
          </w:p>
        </w:tc>
      </w:tr>
      <w:tr w:rsidR="00905780" w:rsidRPr="00905780" w14:paraId="16B0C71C" w14:textId="77777777" w:rsidTr="00905780">
        <w:trPr>
          <w:trHeight w:val="850"/>
        </w:trPr>
        <w:tc>
          <w:tcPr>
            <w:tcW w:w="3289" w:type="dxa"/>
            <w:vMerge/>
            <w:tcBorders>
              <w:top w:val="nil"/>
              <w:left w:val="single" w:sz="8" w:space="0" w:color="auto"/>
              <w:bottom w:val="single" w:sz="8" w:space="0" w:color="000000"/>
              <w:right w:val="single" w:sz="8" w:space="0" w:color="auto"/>
            </w:tcBorders>
            <w:vAlign w:val="center"/>
            <w:hideMark/>
          </w:tcPr>
          <w:p w14:paraId="388F1B54" w14:textId="77777777" w:rsidR="00905780" w:rsidRPr="00905780" w:rsidRDefault="00905780" w:rsidP="00905780">
            <w:pPr>
              <w:ind w:left="567" w:hanging="567"/>
              <w:rPr>
                <w:rFonts w:cs="Arial"/>
                <w:b/>
                <w:bCs/>
                <w:color w:val="000000"/>
                <w:sz w:val="22"/>
                <w:szCs w:val="22"/>
                <w:lang w:eastAsia="en-GB"/>
              </w:rPr>
            </w:pPr>
          </w:p>
        </w:tc>
        <w:tc>
          <w:tcPr>
            <w:tcW w:w="1541" w:type="dxa"/>
            <w:tcBorders>
              <w:top w:val="nil"/>
              <w:left w:val="nil"/>
              <w:bottom w:val="single" w:sz="8" w:space="0" w:color="auto"/>
              <w:right w:val="single" w:sz="8" w:space="0" w:color="auto"/>
            </w:tcBorders>
            <w:shd w:val="clear" w:color="000000" w:fill="B3B3B3"/>
            <w:vAlign w:val="center"/>
            <w:hideMark/>
          </w:tcPr>
          <w:p w14:paraId="6518444C"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 xml:space="preserve">Revised </w:t>
            </w:r>
            <w:r w:rsidRPr="00905780">
              <w:rPr>
                <w:rFonts w:cs="Arial"/>
                <w:b/>
                <w:bCs/>
                <w:color w:val="000000"/>
                <w:sz w:val="22"/>
                <w:szCs w:val="22"/>
                <w:lang w:eastAsia="en-GB"/>
              </w:rPr>
              <w:br/>
              <w:t>Budget</w:t>
            </w:r>
            <w:r w:rsidRPr="00905780">
              <w:rPr>
                <w:rFonts w:cs="Arial"/>
                <w:b/>
                <w:bCs/>
                <w:color w:val="000000"/>
                <w:sz w:val="22"/>
                <w:szCs w:val="22"/>
                <w:lang w:eastAsia="en-GB"/>
              </w:rPr>
              <w:br/>
              <w:t>£'000</w:t>
            </w:r>
          </w:p>
        </w:tc>
        <w:tc>
          <w:tcPr>
            <w:tcW w:w="1590" w:type="dxa"/>
            <w:tcBorders>
              <w:top w:val="nil"/>
              <w:left w:val="nil"/>
              <w:bottom w:val="single" w:sz="8" w:space="0" w:color="auto"/>
              <w:right w:val="single" w:sz="8" w:space="0" w:color="auto"/>
            </w:tcBorders>
            <w:shd w:val="clear" w:color="000000" w:fill="B3B3B3"/>
            <w:vAlign w:val="center"/>
            <w:hideMark/>
          </w:tcPr>
          <w:p w14:paraId="6F010F31"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Forecast Outturn</w:t>
            </w:r>
            <w:r w:rsidRPr="00905780">
              <w:rPr>
                <w:rFonts w:cs="Arial"/>
                <w:b/>
                <w:bCs/>
                <w:color w:val="000000"/>
                <w:sz w:val="22"/>
                <w:szCs w:val="22"/>
                <w:lang w:eastAsia="en-GB"/>
              </w:rPr>
              <w:br/>
              <w:t>£'000</w:t>
            </w:r>
          </w:p>
        </w:tc>
      </w:tr>
      <w:tr w:rsidR="00905780" w:rsidRPr="00905780" w14:paraId="6B980287" w14:textId="77777777" w:rsidTr="00905780">
        <w:trPr>
          <w:trHeight w:val="1008"/>
        </w:trPr>
        <w:tc>
          <w:tcPr>
            <w:tcW w:w="3289" w:type="dxa"/>
            <w:tcBorders>
              <w:top w:val="nil"/>
              <w:left w:val="single" w:sz="8" w:space="0" w:color="auto"/>
              <w:bottom w:val="single" w:sz="8" w:space="0" w:color="auto"/>
              <w:right w:val="single" w:sz="8" w:space="0" w:color="auto"/>
            </w:tcBorders>
            <w:shd w:val="clear" w:color="auto" w:fill="auto"/>
            <w:vAlign w:val="bottom"/>
            <w:hideMark/>
          </w:tcPr>
          <w:p w14:paraId="401F6323" w14:textId="77777777" w:rsidR="00905780" w:rsidRDefault="00905780" w:rsidP="00905780">
            <w:pPr>
              <w:ind w:left="567" w:hanging="567"/>
              <w:rPr>
                <w:rFonts w:cs="Arial"/>
                <w:b/>
                <w:bCs/>
                <w:color w:val="000000"/>
                <w:sz w:val="22"/>
                <w:szCs w:val="22"/>
                <w:u w:val="single"/>
                <w:lang w:eastAsia="en-GB"/>
              </w:rPr>
            </w:pPr>
            <w:r w:rsidRPr="00905780">
              <w:rPr>
                <w:rFonts w:cs="Arial"/>
                <w:b/>
                <w:bCs/>
                <w:color w:val="000000"/>
                <w:sz w:val="22"/>
                <w:szCs w:val="22"/>
                <w:u w:val="single"/>
                <w:lang w:eastAsia="en-GB"/>
              </w:rPr>
              <w:t>General Fund</w:t>
            </w:r>
          </w:p>
          <w:p w14:paraId="16D33DD6" w14:textId="10203F0C"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Resources Directorate</w:t>
            </w:r>
          </w:p>
        </w:tc>
        <w:tc>
          <w:tcPr>
            <w:tcW w:w="1541" w:type="dxa"/>
            <w:tcBorders>
              <w:top w:val="nil"/>
              <w:left w:val="nil"/>
              <w:bottom w:val="single" w:sz="8" w:space="0" w:color="auto"/>
              <w:right w:val="single" w:sz="8" w:space="0" w:color="auto"/>
            </w:tcBorders>
            <w:shd w:val="clear" w:color="auto" w:fill="auto"/>
            <w:vAlign w:val="bottom"/>
            <w:hideMark/>
          </w:tcPr>
          <w:p w14:paraId="40F80B37"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11,026</w:t>
            </w:r>
          </w:p>
        </w:tc>
        <w:tc>
          <w:tcPr>
            <w:tcW w:w="1590" w:type="dxa"/>
            <w:tcBorders>
              <w:top w:val="nil"/>
              <w:left w:val="nil"/>
              <w:bottom w:val="single" w:sz="8" w:space="0" w:color="auto"/>
              <w:right w:val="single" w:sz="8" w:space="0" w:color="auto"/>
            </w:tcBorders>
            <w:shd w:val="clear" w:color="auto" w:fill="auto"/>
            <w:vAlign w:val="bottom"/>
            <w:hideMark/>
          </w:tcPr>
          <w:p w14:paraId="06D319F8"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7,253</w:t>
            </w:r>
          </w:p>
        </w:tc>
      </w:tr>
      <w:tr w:rsidR="00905780" w:rsidRPr="00905780" w14:paraId="5753B161" w14:textId="77777777" w:rsidTr="00905780">
        <w:trPr>
          <w:trHeight w:val="300"/>
        </w:trPr>
        <w:tc>
          <w:tcPr>
            <w:tcW w:w="3289" w:type="dxa"/>
            <w:tcBorders>
              <w:top w:val="nil"/>
              <w:left w:val="single" w:sz="8" w:space="0" w:color="auto"/>
              <w:bottom w:val="single" w:sz="8" w:space="0" w:color="auto"/>
              <w:right w:val="single" w:sz="8" w:space="0" w:color="auto"/>
            </w:tcBorders>
            <w:shd w:val="clear" w:color="auto" w:fill="auto"/>
            <w:vAlign w:val="center"/>
            <w:hideMark/>
          </w:tcPr>
          <w:p w14:paraId="41A5E12A" w14:textId="77777777"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People's Directorate</w:t>
            </w:r>
          </w:p>
        </w:tc>
        <w:tc>
          <w:tcPr>
            <w:tcW w:w="1541" w:type="dxa"/>
            <w:tcBorders>
              <w:top w:val="nil"/>
              <w:left w:val="nil"/>
              <w:bottom w:val="single" w:sz="8" w:space="0" w:color="auto"/>
              <w:right w:val="single" w:sz="8" w:space="0" w:color="auto"/>
            </w:tcBorders>
            <w:shd w:val="clear" w:color="auto" w:fill="auto"/>
            <w:vAlign w:val="center"/>
            <w:hideMark/>
          </w:tcPr>
          <w:p w14:paraId="13BBE64C"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19,269</w:t>
            </w:r>
          </w:p>
        </w:tc>
        <w:tc>
          <w:tcPr>
            <w:tcW w:w="1590" w:type="dxa"/>
            <w:tcBorders>
              <w:top w:val="nil"/>
              <w:left w:val="nil"/>
              <w:bottom w:val="single" w:sz="8" w:space="0" w:color="auto"/>
              <w:right w:val="single" w:sz="8" w:space="0" w:color="auto"/>
            </w:tcBorders>
            <w:shd w:val="clear" w:color="auto" w:fill="auto"/>
            <w:vAlign w:val="center"/>
            <w:hideMark/>
          </w:tcPr>
          <w:p w14:paraId="2A7EA383"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9,978</w:t>
            </w:r>
          </w:p>
        </w:tc>
      </w:tr>
      <w:tr w:rsidR="00905780" w:rsidRPr="00905780" w14:paraId="1067757D" w14:textId="77777777" w:rsidTr="00905780">
        <w:trPr>
          <w:trHeight w:val="300"/>
        </w:trPr>
        <w:tc>
          <w:tcPr>
            <w:tcW w:w="3289" w:type="dxa"/>
            <w:tcBorders>
              <w:top w:val="nil"/>
              <w:left w:val="single" w:sz="8" w:space="0" w:color="auto"/>
              <w:bottom w:val="single" w:sz="8" w:space="0" w:color="auto"/>
              <w:right w:val="single" w:sz="8" w:space="0" w:color="auto"/>
            </w:tcBorders>
            <w:shd w:val="clear" w:color="auto" w:fill="auto"/>
            <w:vAlign w:val="center"/>
            <w:hideMark/>
          </w:tcPr>
          <w:p w14:paraId="40C8B972" w14:textId="77777777"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Place Directorate</w:t>
            </w:r>
          </w:p>
        </w:tc>
        <w:tc>
          <w:tcPr>
            <w:tcW w:w="1541" w:type="dxa"/>
            <w:tcBorders>
              <w:top w:val="nil"/>
              <w:left w:val="nil"/>
              <w:bottom w:val="single" w:sz="8" w:space="0" w:color="auto"/>
              <w:right w:val="single" w:sz="8" w:space="0" w:color="auto"/>
            </w:tcBorders>
            <w:shd w:val="clear" w:color="auto" w:fill="auto"/>
            <w:vAlign w:val="center"/>
            <w:hideMark/>
          </w:tcPr>
          <w:p w14:paraId="6F7F10C5"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75,729</w:t>
            </w:r>
          </w:p>
        </w:tc>
        <w:tc>
          <w:tcPr>
            <w:tcW w:w="1590" w:type="dxa"/>
            <w:tcBorders>
              <w:top w:val="nil"/>
              <w:left w:val="nil"/>
              <w:bottom w:val="single" w:sz="8" w:space="0" w:color="auto"/>
              <w:right w:val="single" w:sz="8" w:space="0" w:color="auto"/>
            </w:tcBorders>
            <w:shd w:val="clear" w:color="auto" w:fill="auto"/>
            <w:vAlign w:val="center"/>
            <w:hideMark/>
          </w:tcPr>
          <w:p w14:paraId="78B344E8"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50,581</w:t>
            </w:r>
          </w:p>
        </w:tc>
      </w:tr>
      <w:tr w:rsidR="00905780" w:rsidRPr="00905780" w14:paraId="0DF7F91F" w14:textId="77777777" w:rsidTr="00905780">
        <w:trPr>
          <w:trHeight w:val="300"/>
        </w:trPr>
        <w:tc>
          <w:tcPr>
            <w:tcW w:w="3289" w:type="dxa"/>
            <w:tcBorders>
              <w:top w:val="nil"/>
              <w:left w:val="single" w:sz="8" w:space="0" w:color="auto"/>
              <w:bottom w:val="single" w:sz="8" w:space="0" w:color="auto"/>
              <w:right w:val="single" w:sz="8" w:space="0" w:color="auto"/>
            </w:tcBorders>
            <w:shd w:val="clear" w:color="000000" w:fill="F2F2F2"/>
            <w:vAlign w:val="center"/>
            <w:hideMark/>
          </w:tcPr>
          <w:p w14:paraId="6C1303F7"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General Fund</w:t>
            </w:r>
          </w:p>
        </w:tc>
        <w:tc>
          <w:tcPr>
            <w:tcW w:w="1541" w:type="dxa"/>
            <w:tcBorders>
              <w:top w:val="nil"/>
              <w:left w:val="nil"/>
              <w:bottom w:val="single" w:sz="8" w:space="0" w:color="auto"/>
              <w:right w:val="single" w:sz="8" w:space="0" w:color="auto"/>
            </w:tcBorders>
            <w:shd w:val="clear" w:color="000000" w:fill="F2F2F2"/>
            <w:vAlign w:val="center"/>
            <w:hideMark/>
          </w:tcPr>
          <w:p w14:paraId="308C067B" w14:textId="77777777" w:rsidR="00905780" w:rsidRPr="00905780" w:rsidRDefault="00905780" w:rsidP="00905780">
            <w:pPr>
              <w:ind w:left="567" w:hanging="567"/>
              <w:jc w:val="right"/>
              <w:rPr>
                <w:rFonts w:cs="Arial"/>
                <w:b/>
                <w:bCs/>
                <w:color w:val="000000"/>
                <w:sz w:val="22"/>
                <w:szCs w:val="22"/>
                <w:lang w:eastAsia="en-GB"/>
              </w:rPr>
            </w:pPr>
            <w:r w:rsidRPr="00905780">
              <w:rPr>
                <w:rFonts w:cs="Arial"/>
                <w:b/>
                <w:bCs/>
                <w:color w:val="000000"/>
                <w:sz w:val="22"/>
                <w:szCs w:val="22"/>
                <w:lang w:eastAsia="en-GB"/>
              </w:rPr>
              <w:t>106,024</w:t>
            </w:r>
          </w:p>
        </w:tc>
        <w:tc>
          <w:tcPr>
            <w:tcW w:w="1590" w:type="dxa"/>
            <w:tcBorders>
              <w:top w:val="nil"/>
              <w:left w:val="nil"/>
              <w:bottom w:val="single" w:sz="8" w:space="0" w:color="auto"/>
              <w:right w:val="single" w:sz="8" w:space="0" w:color="auto"/>
            </w:tcBorders>
            <w:shd w:val="clear" w:color="000000" w:fill="F2F2F2"/>
            <w:vAlign w:val="center"/>
            <w:hideMark/>
          </w:tcPr>
          <w:p w14:paraId="06E157F5" w14:textId="77777777" w:rsidR="00905780" w:rsidRPr="00905780" w:rsidRDefault="00905780" w:rsidP="00905780">
            <w:pPr>
              <w:ind w:left="567" w:hanging="567"/>
              <w:jc w:val="right"/>
              <w:rPr>
                <w:rFonts w:cs="Arial"/>
                <w:b/>
                <w:bCs/>
                <w:color w:val="000000"/>
                <w:sz w:val="22"/>
                <w:szCs w:val="22"/>
                <w:lang w:eastAsia="en-GB"/>
              </w:rPr>
            </w:pPr>
            <w:r w:rsidRPr="00905780">
              <w:rPr>
                <w:rFonts w:cs="Arial"/>
                <w:b/>
                <w:bCs/>
                <w:color w:val="000000"/>
                <w:sz w:val="22"/>
                <w:szCs w:val="22"/>
                <w:lang w:eastAsia="en-GB"/>
              </w:rPr>
              <w:t>67,812</w:t>
            </w:r>
          </w:p>
        </w:tc>
      </w:tr>
      <w:tr w:rsidR="00905780" w:rsidRPr="00905780" w14:paraId="013A753C" w14:textId="77777777" w:rsidTr="00905780">
        <w:trPr>
          <w:trHeight w:val="300"/>
        </w:trPr>
        <w:tc>
          <w:tcPr>
            <w:tcW w:w="3289" w:type="dxa"/>
            <w:tcBorders>
              <w:top w:val="nil"/>
              <w:left w:val="single" w:sz="8" w:space="0" w:color="auto"/>
              <w:bottom w:val="single" w:sz="8" w:space="0" w:color="auto"/>
              <w:right w:val="single" w:sz="8" w:space="0" w:color="auto"/>
            </w:tcBorders>
            <w:shd w:val="clear" w:color="000000" w:fill="F2F2F2"/>
            <w:vAlign w:val="center"/>
            <w:hideMark/>
          </w:tcPr>
          <w:p w14:paraId="7D1CC6B1" w14:textId="77777777"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HRA</w:t>
            </w:r>
          </w:p>
        </w:tc>
        <w:tc>
          <w:tcPr>
            <w:tcW w:w="1541" w:type="dxa"/>
            <w:tcBorders>
              <w:top w:val="nil"/>
              <w:left w:val="nil"/>
              <w:bottom w:val="single" w:sz="8" w:space="0" w:color="auto"/>
              <w:right w:val="single" w:sz="8" w:space="0" w:color="auto"/>
            </w:tcBorders>
            <w:shd w:val="clear" w:color="000000" w:fill="F2F2F2"/>
            <w:vAlign w:val="center"/>
            <w:hideMark/>
          </w:tcPr>
          <w:p w14:paraId="53FF697D"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57,505</w:t>
            </w:r>
          </w:p>
        </w:tc>
        <w:tc>
          <w:tcPr>
            <w:tcW w:w="1590" w:type="dxa"/>
            <w:tcBorders>
              <w:top w:val="nil"/>
              <w:left w:val="nil"/>
              <w:bottom w:val="single" w:sz="8" w:space="0" w:color="auto"/>
              <w:right w:val="single" w:sz="8" w:space="0" w:color="auto"/>
            </w:tcBorders>
            <w:shd w:val="clear" w:color="000000" w:fill="F2F2F2"/>
            <w:vAlign w:val="center"/>
            <w:hideMark/>
          </w:tcPr>
          <w:p w14:paraId="087EBD8D"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44,628</w:t>
            </w:r>
          </w:p>
        </w:tc>
      </w:tr>
      <w:tr w:rsidR="00905780" w:rsidRPr="00905780" w14:paraId="1640AE5B" w14:textId="77777777" w:rsidTr="00905780">
        <w:trPr>
          <w:trHeight w:val="300"/>
        </w:trPr>
        <w:tc>
          <w:tcPr>
            <w:tcW w:w="3289" w:type="dxa"/>
            <w:tcBorders>
              <w:top w:val="nil"/>
              <w:left w:val="single" w:sz="8" w:space="0" w:color="auto"/>
              <w:bottom w:val="single" w:sz="8" w:space="0" w:color="auto"/>
              <w:right w:val="single" w:sz="8" w:space="0" w:color="auto"/>
            </w:tcBorders>
            <w:shd w:val="clear" w:color="auto" w:fill="auto"/>
            <w:vAlign w:val="center"/>
            <w:hideMark/>
          </w:tcPr>
          <w:p w14:paraId="3AB03C50"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Total</w:t>
            </w:r>
          </w:p>
        </w:tc>
        <w:tc>
          <w:tcPr>
            <w:tcW w:w="1541" w:type="dxa"/>
            <w:tcBorders>
              <w:top w:val="nil"/>
              <w:left w:val="nil"/>
              <w:bottom w:val="single" w:sz="8" w:space="0" w:color="auto"/>
              <w:right w:val="single" w:sz="8" w:space="0" w:color="auto"/>
            </w:tcBorders>
            <w:shd w:val="clear" w:color="auto" w:fill="auto"/>
            <w:vAlign w:val="center"/>
            <w:hideMark/>
          </w:tcPr>
          <w:p w14:paraId="1606A7C7" w14:textId="77777777" w:rsidR="00905780" w:rsidRPr="00905780" w:rsidRDefault="00905780" w:rsidP="00905780">
            <w:pPr>
              <w:ind w:left="567" w:hanging="567"/>
              <w:jc w:val="right"/>
              <w:rPr>
                <w:rFonts w:cs="Arial"/>
                <w:b/>
                <w:bCs/>
                <w:color w:val="000000"/>
                <w:sz w:val="22"/>
                <w:szCs w:val="22"/>
                <w:lang w:eastAsia="en-GB"/>
              </w:rPr>
            </w:pPr>
            <w:r w:rsidRPr="00905780">
              <w:rPr>
                <w:rFonts w:cs="Arial"/>
                <w:b/>
                <w:bCs/>
                <w:color w:val="000000"/>
                <w:sz w:val="22"/>
                <w:szCs w:val="22"/>
                <w:lang w:eastAsia="en-GB"/>
              </w:rPr>
              <w:t>163,529</w:t>
            </w:r>
          </w:p>
        </w:tc>
        <w:tc>
          <w:tcPr>
            <w:tcW w:w="1590" w:type="dxa"/>
            <w:tcBorders>
              <w:top w:val="nil"/>
              <w:left w:val="nil"/>
              <w:bottom w:val="single" w:sz="8" w:space="0" w:color="auto"/>
              <w:right w:val="single" w:sz="8" w:space="0" w:color="auto"/>
            </w:tcBorders>
            <w:shd w:val="clear" w:color="auto" w:fill="auto"/>
            <w:vAlign w:val="center"/>
            <w:hideMark/>
          </w:tcPr>
          <w:p w14:paraId="185F2CA7" w14:textId="77777777" w:rsidR="00905780" w:rsidRPr="00905780" w:rsidRDefault="00905780" w:rsidP="00905780">
            <w:pPr>
              <w:ind w:left="567" w:hanging="567"/>
              <w:jc w:val="right"/>
              <w:rPr>
                <w:rFonts w:cs="Arial"/>
                <w:b/>
                <w:bCs/>
                <w:color w:val="000000"/>
                <w:sz w:val="22"/>
                <w:szCs w:val="22"/>
                <w:lang w:eastAsia="en-GB"/>
              </w:rPr>
            </w:pPr>
            <w:r w:rsidRPr="00905780">
              <w:rPr>
                <w:rFonts w:cs="Arial"/>
                <w:b/>
                <w:bCs/>
                <w:color w:val="000000"/>
                <w:sz w:val="22"/>
                <w:szCs w:val="22"/>
                <w:lang w:eastAsia="en-GB"/>
              </w:rPr>
              <w:t>112,440</w:t>
            </w:r>
          </w:p>
        </w:tc>
      </w:tr>
    </w:tbl>
    <w:p w14:paraId="4A6D8890" w14:textId="77777777" w:rsidR="00905780" w:rsidRPr="00905780" w:rsidRDefault="00905780" w:rsidP="00905780">
      <w:pPr>
        <w:ind w:left="567" w:hanging="567"/>
        <w:jc w:val="both"/>
        <w:rPr>
          <w:color w:val="0D0D0D" w:themeColor="text1" w:themeTint="F2"/>
        </w:rPr>
      </w:pPr>
    </w:p>
    <w:p w14:paraId="671CDC4B" w14:textId="77777777" w:rsidR="00905780" w:rsidRPr="00905780" w:rsidRDefault="00905780" w:rsidP="00905780">
      <w:pPr>
        <w:ind w:left="567" w:hanging="567"/>
        <w:jc w:val="both"/>
        <w:rPr>
          <w:rFonts w:cs="Arial"/>
          <w:bCs/>
          <w:szCs w:val="24"/>
        </w:rPr>
      </w:pPr>
    </w:p>
    <w:p w14:paraId="593C1D3C"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 xml:space="preserve">The 2023/24 Q2 Capital Budget Monitoring Report provides further details of the updated forecast outturn position. </w:t>
      </w:r>
    </w:p>
    <w:p w14:paraId="723A6787" w14:textId="77777777" w:rsidR="00905780" w:rsidRPr="00905780" w:rsidRDefault="00905780" w:rsidP="00905780">
      <w:pPr>
        <w:ind w:left="567" w:hanging="567"/>
        <w:jc w:val="both"/>
        <w:rPr>
          <w:rFonts w:cs="Arial"/>
          <w:bCs/>
          <w:szCs w:val="24"/>
        </w:rPr>
      </w:pPr>
    </w:p>
    <w:p w14:paraId="45A292FD" w14:textId="62B5A77B" w:rsidR="00905780" w:rsidRPr="00905780" w:rsidRDefault="00905780" w:rsidP="00905780">
      <w:pPr>
        <w:numPr>
          <w:ilvl w:val="0"/>
          <w:numId w:val="11"/>
        </w:numPr>
        <w:ind w:left="567" w:hanging="567"/>
        <w:jc w:val="both"/>
        <w:rPr>
          <w:rFonts w:cs="Arial"/>
          <w:b/>
        </w:rPr>
      </w:pPr>
      <w:r w:rsidRPr="00905780">
        <w:rPr>
          <w:rFonts w:cs="Arial"/>
          <w:b/>
          <w:szCs w:val="24"/>
        </w:rPr>
        <w:t>Changes to the Financing of the Capital Programme</w:t>
      </w:r>
      <w:r w:rsidRPr="00905780">
        <w:rPr>
          <w:rFonts w:cs="Arial"/>
          <w:b/>
        </w:rPr>
        <w:t xml:space="preserve">  </w:t>
      </w:r>
    </w:p>
    <w:p w14:paraId="08EDD1F3" w14:textId="77777777" w:rsidR="00905780" w:rsidRPr="00905780" w:rsidRDefault="00905780" w:rsidP="00905780">
      <w:pPr>
        <w:ind w:left="567"/>
        <w:jc w:val="both"/>
        <w:rPr>
          <w:highlight w:val="yellow"/>
        </w:rPr>
      </w:pPr>
      <w:r w:rsidRPr="00905780">
        <w:rPr>
          <w:color w:val="0D0D0D" w:themeColor="text1" w:themeTint="F2"/>
        </w:rPr>
        <w:t>Table 2 illustrates how the Council’s capital expenditure plans (table 1) will be funded.  The net financing need for the year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w:t>
      </w:r>
    </w:p>
    <w:p w14:paraId="269C092E" w14:textId="77777777" w:rsidR="00905780" w:rsidRPr="00905780" w:rsidRDefault="00905780" w:rsidP="00905780">
      <w:pPr>
        <w:ind w:left="567" w:hanging="567"/>
        <w:rPr>
          <w:rFonts w:cs="Arial"/>
          <w:bCs/>
          <w:szCs w:val="24"/>
          <w:highlight w:val="yellow"/>
        </w:rPr>
      </w:pPr>
      <w:r w:rsidRPr="00905780">
        <w:rPr>
          <w:rFonts w:cs="Arial"/>
          <w:bCs/>
          <w:szCs w:val="24"/>
          <w:highlight w:val="yellow"/>
        </w:rPr>
        <w:br w:type="page"/>
      </w:r>
    </w:p>
    <w:p w14:paraId="0F81FE68" w14:textId="2D74BC11" w:rsidR="00905780" w:rsidRDefault="003327CC" w:rsidP="003327CC">
      <w:pPr>
        <w:ind w:left="567"/>
        <w:jc w:val="both"/>
        <w:rPr>
          <w:rFonts w:cs="Arial"/>
          <w:bCs/>
          <w:szCs w:val="24"/>
        </w:rPr>
      </w:pPr>
      <w:r w:rsidRPr="003327CC">
        <w:rPr>
          <w:noProof/>
        </w:rPr>
        <w:lastRenderedPageBreak/>
        <w:drawing>
          <wp:inline distT="0" distB="0" distL="0" distR="0" wp14:anchorId="252E7C34" wp14:editId="6AF609C3">
            <wp:extent cx="4499962" cy="5220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9994" cy="5232568"/>
                    </a:xfrm>
                    <a:prstGeom prst="rect">
                      <a:avLst/>
                    </a:prstGeom>
                    <a:noFill/>
                    <a:ln>
                      <a:noFill/>
                    </a:ln>
                  </pic:spPr>
                </pic:pic>
              </a:graphicData>
            </a:graphic>
          </wp:inline>
        </w:drawing>
      </w:r>
    </w:p>
    <w:p w14:paraId="725F9876" w14:textId="77777777" w:rsidR="003327CC" w:rsidRPr="003327CC" w:rsidRDefault="003327CC" w:rsidP="003327CC">
      <w:pPr>
        <w:ind w:left="567"/>
        <w:jc w:val="both"/>
        <w:rPr>
          <w:rFonts w:cs="Arial"/>
          <w:bCs/>
          <w:szCs w:val="24"/>
        </w:rPr>
      </w:pPr>
    </w:p>
    <w:p w14:paraId="09099E65" w14:textId="5FC44F5B" w:rsidR="00905780" w:rsidRPr="003327CC" w:rsidRDefault="00905780" w:rsidP="00905780">
      <w:pPr>
        <w:keepNext/>
        <w:tabs>
          <w:tab w:val="left" w:pos="3600"/>
        </w:tabs>
        <w:ind w:left="567" w:hanging="567"/>
        <w:outlineLvl w:val="3"/>
        <w:rPr>
          <w:rFonts w:cs="Arial"/>
          <w:b/>
        </w:rPr>
      </w:pPr>
      <w:r w:rsidRPr="003327CC">
        <w:rPr>
          <w:rFonts w:cs="Arial"/>
          <w:b/>
          <w:szCs w:val="24"/>
        </w:rPr>
        <w:tab/>
        <w:t xml:space="preserve">Capital Financing Requirement </w:t>
      </w:r>
      <w:r w:rsidR="00381A3E">
        <w:rPr>
          <w:rFonts w:cs="Arial"/>
          <w:b/>
          <w:szCs w:val="24"/>
        </w:rPr>
        <w:t>(CFR)</w:t>
      </w:r>
    </w:p>
    <w:p w14:paraId="510E4E86" w14:textId="14FB7862" w:rsidR="00905780" w:rsidRPr="00905780" w:rsidRDefault="00905780" w:rsidP="00905780">
      <w:pPr>
        <w:numPr>
          <w:ilvl w:val="0"/>
          <w:numId w:val="11"/>
        </w:numPr>
        <w:ind w:left="567" w:hanging="567"/>
        <w:jc w:val="both"/>
        <w:rPr>
          <w:color w:val="0D0D0D" w:themeColor="text1" w:themeTint="F2"/>
        </w:rPr>
      </w:pPr>
      <w:r w:rsidRPr="00381A3E">
        <w:rPr>
          <w:color w:val="0D0D0D" w:themeColor="text1" w:themeTint="F2"/>
        </w:rPr>
        <w:t xml:space="preserve">The </w:t>
      </w:r>
      <w:r w:rsidR="00381A3E" w:rsidRPr="00381A3E">
        <w:rPr>
          <w:color w:val="0D0D0D" w:themeColor="text1" w:themeTint="F2"/>
        </w:rPr>
        <w:t xml:space="preserve">is the total historic outstanding capital expenditure incurred by the Council, which has not yet been paid for from either revenue or capital resources such as </w:t>
      </w:r>
      <w:proofErr w:type="gramStart"/>
      <w:r w:rsidR="00381A3E" w:rsidRPr="00381A3E">
        <w:rPr>
          <w:color w:val="0D0D0D" w:themeColor="text1" w:themeTint="F2"/>
        </w:rPr>
        <w:t>grant</w:t>
      </w:r>
      <w:proofErr w:type="gramEnd"/>
      <w:r w:rsidR="00381A3E" w:rsidRPr="00381A3E">
        <w:rPr>
          <w:color w:val="0D0D0D" w:themeColor="text1" w:themeTint="F2"/>
        </w:rPr>
        <w:t xml:space="preserve"> or other external funding and it is essentially a measure of the Council’s underlying borrowing need.  Any new capital expenditure, which requires funding from borrowing, will increase the CFR. The Council makes an annual charge to the revenue budget for the repayment</w:t>
      </w:r>
      <w:r w:rsidR="00381A3E" w:rsidRPr="001C3E10">
        <w:rPr>
          <w:color w:val="0D0D0D" w:themeColor="text1" w:themeTint="F2"/>
        </w:rPr>
        <w:t xml:space="preserve"> of its debt liability, the Minimum Revenue Provision, which acts to reduce the CFR and charge prudential borrowing to the General Fund over time.  </w:t>
      </w:r>
      <w:r w:rsidRPr="00905780">
        <w:rPr>
          <w:color w:val="0D0D0D" w:themeColor="text1" w:themeTint="F2"/>
        </w:rPr>
        <w:t xml:space="preserve"> </w:t>
      </w:r>
    </w:p>
    <w:p w14:paraId="2CE74F9C" w14:textId="77777777" w:rsidR="00905780" w:rsidRPr="00905780" w:rsidRDefault="00905780" w:rsidP="00905780">
      <w:pPr>
        <w:ind w:left="567" w:hanging="567"/>
        <w:jc w:val="both"/>
        <w:rPr>
          <w:color w:val="0D0D0D" w:themeColor="text1" w:themeTint="F2"/>
        </w:rPr>
      </w:pPr>
    </w:p>
    <w:p w14:paraId="40E5E0D9" w14:textId="77777777" w:rsidR="00905780" w:rsidRPr="00905780" w:rsidRDefault="00905780" w:rsidP="00905780">
      <w:pPr>
        <w:numPr>
          <w:ilvl w:val="0"/>
          <w:numId w:val="11"/>
        </w:numPr>
        <w:ind w:left="567" w:hanging="567"/>
        <w:jc w:val="both"/>
        <w:rPr>
          <w:color w:val="0D0D0D" w:themeColor="text1" w:themeTint="F2"/>
        </w:rPr>
      </w:pPr>
      <w:r w:rsidRPr="00905780">
        <w:rPr>
          <w:rFonts w:cs="Arial"/>
          <w:bCs/>
          <w:szCs w:val="24"/>
        </w:rPr>
        <w:t>The Original Capital Financing Requirement for 2032/24 as reported in the Treasury Management Strategy Statement report to Cabinet in February 2023 was £644m as follows:</w:t>
      </w:r>
    </w:p>
    <w:p w14:paraId="4DEFC21E" w14:textId="0E8A2FC8" w:rsidR="00905780" w:rsidRPr="00905780" w:rsidRDefault="00905780" w:rsidP="00905780">
      <w:pPr>
        <w:ind w:left="567" w:hanging="567"/>
        <w:jc w:val="both"/>
        <w:rPr>
          <w:rFonts w:ascii="Times New Roman" w:hAnsi="Times New Roman"/>
          <w:sz w:val="20"/>
          <w:lang w:eastAsia="en-GB"/>
        </w:rPr>
      </w:pPr>
      <w:r w:rsidRPr="00905780">
        <w:fldChar w:fldCharType="begin"/>
      </w:r>
      <w:r w:rsidRPr="00905780">
        <w:instrText xml:space="preserve"> LINK </w:instrText>
      </w:r>
      <w:r w:rsidR="003327CC">
        <w:instrText xml:space="preserve">Excel.Sheet.12 "\\\\az_files\\vol2\\DATA\\FINANCE\\Public\\Technical &amp; Accounting\\Treasury2\\Cabinet Reports\\TM Mid year 23-24\\Other Tables for Midyear (Sep23) DRAFT.xlsx" "Table 3!R1C4:R6C5" </w:instrText>
      </w:r>
      <w:r w:rsidRPr="00905780">
        <w:instrText xml:space="preserve">\a \f 4 \h  \* MERGEFORMAT </w:instrText>
      </w:r>
      <w:r w:rsidRPr="00905780">
        <w:fldChar w:fldCharType="separate"/>
      </w:r>
    </w:p>
    <w:tbl>
      <w:tblPr>
        <w:tblW w:w="6464" w:type="dxa"/>
        <w:tblInd w:w="567" w:type="dxa"/>
        <w:tblLook w:val="04A0" w:firstRow="1" w:lastRow="0" w:firstColumn="1" w:lastColumn="0" w:noHBand="0" w:noVBand="1"/>
      </w:tblPr>
      <w:tblGrid>
        <w:gridCol w:w="4713"/>
        <w:gridCol w:w="1751"/>
      </w:tblGrid>
      <w:tr w:rsidR="00905780" w:rsidRPr="00905780" w14:paraId="75D144E3" w14:textId="77777777" w:rsidTr="003327CC">
        <w:trPr>
          <w:trHeight w:val="282"/>
        </w:trPr>
        <w:tc>
          <w:tcPr>
            <w:tcW w:w="6464" w:type="dxa"/>
            <w:gridSpan w:val="2"/>
            <w:tcBorders>
              <w:top w:val="nil"/>
              <w:left w:val="nil"/>
              <w:bottom w:val="single" w:sz="8" w:space="0" w:color="auto"/>
              <w:right w:val="nil"/>
            </w:tcBorders>
            <w:shd w:val="clear" w:color="000000" w:fill="FFFFFF"/>
            <w:vAlign w:val="center"/>
            <w:hideMark/>
          </w:tcPr>
          <w:p w14:paraId="01F6D836"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Table 3 - Capital Financing Requirement</w:t>
            </w:r>
          </w:p>
        </w:tc>
      </w:tr>
      <w:tr w:rsidR="00905780" w:rsidRPr="00905780" w14:paraId="5F13282D" w14:textId="77777777" w:rsidTr="003327CC">
        <w:trPr>
          <w:trHeight w:val="273"/>
        </w:trPr>
        <w:tc>
          <w:tcPr>
            <w:tcW w:w="4713" w:type="dxa"/>
            <w:vMerge w:val="restart"/>
            <w:tcBorders>
              <w:top w:val="nil"/>
              <w:left w:val="single" w:sz="8" w:space="0" w:color="auto"/>
              <w:bottom w:val="single" w:sz="8" w:space="0" w:color="000000"/>
              <w:right w:val="single" w:sz="8" w:space="0" w:color="auto"/>
            </w:tcBorders>
            <w:shd w:val="clear" w:color="000000" w:fill="B3B3B3"/>
            <w:vAlign w:val="center"/>
            <w:hideMark/>
          </w:tcPr>
          <w:p w14:paraId="784CBE49"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Capital Financing Requirement</w:t>
            </w:r>
            <w:r w:rsidRPr="00905780">
              <w:rPr>
                <w:rFonts w:cs="Arial"/>
                <w:b/>
                <w:bCs/>
                <w:color w:val="000000"/>
                <w:sz w:val="22"/>
                <w:szCs w:val="22"/>
                <w:lang w:eastAsia="en-GB"/>
              </w:rPr>
              <w:br/>
              <w:t>£'000</w:t>
            </w:r>
          </w:p>
        </w:tc>
        <w:tc>
          <w:tcPr>
            <w:tcW w:w="1751" w:type="dxa"/>
            <w:tcBorders>
              <w:top w:val="nil"/>
              <w:left w:val="nil"/>
              <w:bottom w:val="nil"/>
              <w:right w:val="single" w:sz="8" w:space="0" w:color="auto"/>
            </w:tcBorders>
            <w:shd w:val="clear" w:color="000000" w:fill="B3B3B3"/>
            <w:vAlign w:val="center"/>
            <w:hideMark/>
          </w:tcPr>
          <w:p w14:paraId="332CF72C"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2023/24</w:t>
            </w:r>
          </w:p>
        </w:tc>
      </w:tr>
      <w:tr w:rsidR="00905780" w:rsidRPr="00905780" w14:paraId="35FF873A" w14:textId="77777777" w:rsidTr="003327CC">
        <w:trPr>
          <w:trHeight w:val="538"/>
        </w:trPr>
        <w:tc>
          <w:tcPr>
            <w:tcW w:w="4713" w:type="dxa"/>
            <w:vMerge/>
            <w:tcBorders>
              <w:top w:val="nil"/>
              <w:left w:val="single" w:sz="8" w:space="0" w:color="auto"/>
              <w:bottom w:val="single" w:sz="8" w:space="0" w:color="000000"/>
              <w:right w:val="single" w:sz="8" w:space="0" w:color="auto"/>
            </w:tcBorders>
            <w:vAlign w:val="center"/>
            <w:hideMark/>
          </w:tcPr>
          <w:p w14:paraId="7CF93457" w14:textId="77777777" w:rsidR="00905780" w:rsidRPr="00905780" w:rsidRDefault="00905780" w:rsidP="00905780">
            <w:pPr>
              <w:ind w:left="567" w:hanging="567"/>
              <w:rPr>
                <w:rFonts w:cs="Arial"/>
                <w:b/>
                <w:bCs/>
                <w:color w:val="000000"/>
                <w:sz w:val="22"/>
                <w:szCs w:val="22"/>
                <w:lang w:eastAsia="en-GB"/>
              </w:rPr>
            </w:pPr>
          </w:p>
        </w:tc>
        <w:tc>
          <w:tcPr>
            <w:tcW w:w="1751" w:type="dxa"/>
            <w:tcBorders>
              <w:top w:val="nil"/>
              <w:left w:val="nil"/>
              <w:bottom w:val="single" w:sz="8" w:space="0" w:color="auto"/>
              <w:right w:val="single" w:sz="8" w:space="0" w:color="auto"/>
            </w:tcBorders>
            <w:shd w:val="clear" w:color="000000" w:fill="B3B3B3"/>
            <w:vAlign w:val="center"/>
            <w:hideMark/>
          </w:tcPr>
          <w:p w14:paraId="7F59E051" w14:textId="77777777" w:rsidR="00905780" w:rsidRPr="00905780" w:rsidRDefault="00905780" w:rsidP="00905780">
            <w:pPr>
              <w:ind w:left="567" w:hanging="567"/>
              <w:jc w:val="center"/>
              <w:rPr>
                <w:rFonts w:cs="Arial"/>
                <w:b/>
                <w:bCs/>
                <w:color w:val="000000"/>
                <w:sz w:val="22"/>
                <w:szCs w:val="22"/>
                <w:lang w:eastAsia="en-GB"/>
              </w:rPr>
            </w:pPr>
            <w:r w:rsidRPr="00905780">
              <w:rPr>
                <w:rFonts w:cs="Arial"/>
                <w:b/>
                <w:bCs/>
                <w:color w:val="000000"/>
                <w:sz w:val="22"/>
                <w:szCs w:val="22"/>
                <w:lang w:eastAsia="en-GB"/>
              </w:rPr>
              <w:t>Original Estimate</w:t>
            </w:r>
          </w:p>
        </w:tc>
      </w:tr>
      <w:tr w:rsidR="00905780" w:rsidRPr="00905780" w14:paraId="1949095F" w14:textId="77777777" w:rsidTr="003327CC">
        <w:trPr>
          <w:trHeight w:val="282"/>
        </w:trPr>
        <w:tc>
          <w:tcPr>
            <w:tcW w:w="4713" w:type="dxa"/>
            <w:tcBorders>
              <w:top w:val="nil"/>
              <w:left w:val="single" w:sz="8" w:space="0" w:color="auto"/>
              <w:bottom w:val="single" w:sz="8" w:space="0" w:color="auto"/>
              <w:right w:val="single" w:sz="8" w:space="0" w:color="auto"/>
            </w:tcBorders>
            <w:shd w:val="clear" w:color="auto" w:fill="auto"/>
            <w:vAlign w:val="center"/>
            <w:hideMark/>
          </w:tcPr>
          <w:p w14:paraId="26F38307" w14:textId="77777777"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CFR – General Fund</w:t>
            </w:r>
          </w:p>
        </w:tc>
        <w:tc>
          <w:tcPr>
            <w:tcW w:w="1751" w:type="dxa"/>
            <w:tcBorders>
              <w:top w:val="nil"/>
              <w:left w:val="nil"/>
              <w:bottom w:val="single" w:sz="8" w:space="0" w:color="auto"/>
              <w:right w:val="single" w:sz="8" w:space="0" w:color="auto"/>
            </w:tcBorders>
            <w:shd w:val="clear" w:color="000000" w:fill="FFFFFF"/>
            <w:vAlign w:val="center"/>
            <w:hideMark/>
          </w:tcPr>
          <w:p w14:paraId="66F67DE8"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457,932</w:t>
            </w:r>
          </w:p>
        </w:tc>
      </w:tr>
      <w:tr w:rsidR="00905780" w:rsidRPr="00905780" w14:paraId="17A8FD4B" w14:textId="77777777" w:rsidTr="003327CC">
        <w:trPr>
          <w:trHeight w:val="282"/>
        </w:trPr>
        <w:tc>
          <w:tcPr>
            <w:tcW w:w="4713" w:type="dxa"/>
            <w:tcBorders>
              <w:top w:val="nil"/>
              <w:left w:val="single" w:sz="8" w:space="0" w:color="auto"/>
              <w:bottom w:val="single" w:sz="8" w:space="0" w:color="auto"/>
              <w:right w:val="single" w:sz="8" w:space="0" w:color="auto"/>
            </w:tcBorders>
            <w:shd w:val="clear" w:color="auto" w:fill="auto"/>
            <w:vAlign w:val="center"/>
            <w:hideMark/>
          </w:tcPr>
          <w:p w14:paraId="21F93E0E" w14:textId="77777777" w:rsidR="00905780" w:rsidRPr="00905780" w:rsidRDefault="00905780" w:rsidP="00905780">
            <w:pPr>
              <w:ind w:left="567" w:hanging="567"/>
              <w:rPr>
                <w:rFonts w:cs="Arial"/>
                <w:color w:val="000000"/>
                <w:sz w:val="22"/>
                <w:szCs w:val="22"/>
                <w:lang w:eastAsia="en-GB"/>
              </w:rPr>
            </w:pPr>
            <w:r w:rsidRPr="00905780">
              <w:rPr>
                <w:rFonts w:cs="Arial"/>
                <w:color w:val="000000"/>
                <w:sz w:val="22"/>
                <w:szCs w:val="22"/>
                <w:lang w:eastAsia="en-GB"/>
              </w:rPr>
              <w:t>CFR – HRA</w:t>
            </w:r>
          </w:p>
        </w:tc>
        <w:tc>
          <w:tcPr>
            <w:tcW w:w="1751" w:type="dxa"/>
            <w:tcBorders>
              <w:top w:val="nil"/>
              <w:left w:val="nil"/>
              <w:bottom w:val="single" w:sz="8" w:space="0" w:color="auto"/>
              <w:right w:val="single" w:sz="8" w:space="0" w:color="auto"/>
            </w:tcBorders>
            <w:shd w:val="clear" w:color="000000" w:fill="FFFFFF"/>
            <w:vAlign w:val="center"/>
            <w:hideMark/>
          </w:tcPr>
          <w:p w14:paraId="71CE6FEE" w14:textId="77777777" w:rsidR="00905780" w:rsidRPr="00905780" w:rsidRDefault="00905780" w:rsidP="00905780">
            <w:pPr>
              <w:ind w:left="567" w:hanging="567"/>
              <w:jc w:val="right"/>
              <w:rPr>
                <w:rFonts w:cs="Arial"/>
                <w:color w:val="000000"/>
                <w:sz w:val="22"/>
                <w:szCs w:val="22"/>
                <w:lang w:eastAsia="en-GB"/>
              </w:rPr>
            </w:pPr>
            <w:r w:rsidRPr="00905780">
              <w:rPr>
                <w:rFonts w:cs="Arial"/>
                <w:color w:val="000000"/>
                <w:sz w:val="22"/>
                <w:szCs w:val="22"/>
                <w:lang w:eastAsia="en-GB"/>
              </w:rPr>
              <w:t>186,183</w:t>
            </w:r>
          </w:p>
        </w:tc>
      </w:tr>
      <w:tr w:rsidR="00905780" w:rsidRPr="00905780" w14:paraId="29D442B1" w14:textId="77777777" w:rsidTr="003327CC">
        <w:trPr>
          <w:trHeight w:val="282"/>
        </w:trPr>
        <w:tc>
          <w:tcPr>
            <w:tcW w:w="4713" w:type="dxa"/>
            <w:tcBorders>
              <w:top w:val="nil"/>
              <w:left w:val="single" w:sz="8" w:space="0" w:color="auto"/>
              <w:bottom w:val="single" w:sz="8" w:space="0" w:color="auto"/>
              <w:right w:val="single" w:sz="8" w:space="0" w:color="auto"/>
            </w:tcBorders>
            <w:shd w:val="clear" w:color="auto" w:fill="auto"/>
            <w:vAlign w:val="center"/>
            <w:hideMark/>
          </w:tcPr>
          <w:p w14:paraId="4909D53A" w14:textId="77777777" w:rsidR="00905780" w:rsidRPr="00905780" w:rsidRDefault="00905780" w:rsidP="00905780">
            <w:pPr>
              <w:ind w:left="567" w:hanging="567"/>
              <w:rPr>
                <w:rFonts w:cs="Arial"/>
                <w:b/>
                <w:bCs/>
                <w:color w:val="000000"/>
                <w:sz w:val="22"/>
                <w:szCs w:val="22"/>
                <w:lang w:eastAsia="en-GB"/>
              </w:rPr>
            </w:pPr>
            <w:r w:rsidRPr="00905780">
              <w:rPr>
                <w:rFonts w:cs="Arial"/>
                <w:b/>
                <w:bCs/>
                <w:color w:val="000000"/>
                <w:sz w:val="22"/>
                <w:szCs w:val="22"/>
                <w:lang w:eastAsia="en-GB"/>
              </w:rPr>
              <w:t>Total CFR</w:t>
            </w:r>
          </w:p>
        </w:tc>
        <w:tc>
          <w:tcPr>
            <w:tcW w:w="1751" w:type="dxa"/>
            <w:tcBorders>
              <w:top w:val="nil"/>
              <w:left w:val="nil"/>
              <w:bottom w:val="single" w:sz="8" w:space="0" w:color="auto"/>
              <w:right w:val="single" w:sz="8" w:space="0" w:color="auto"/>
            </w:tcBorders>
            <w:shd w:val="clear" w:color="auto" w:fill="auto"/>
            <w:vAlign w:val="center"/>
            <w:hideMark/>
          </w:tcPr>
          <w:p w14:paraId="1945E7A4" w14:textId="77777777" w:rsidR="00905780" w:rsidRPr="00905780" w:rsidRDefault="00905780" w:rsidP="00905780">
            <w:pPr>
              <w:ind w:left="567" w:hanging="567"/>
              <w:jc w:val="right"/>
              <w:rPr>
                <w:rFonts w:cs="Arial"/>
                <w:b/>
                <w:bCs/>
                <w:color w:val="000000"/>
                <w:sz w:val="22"/>
                <w:szCs w:val="22"/>
                <w:lang w:eastAsia="en-GB"/>
              </w:rPr>
            </w:pPr>
            <w:r w:rsidRPr="00905780">
              <w:rPr>
                <w:rFonts w:cs="Arial"/>
                <w:b/>
                <w:bCs/>
                <w:color w:val="000000"/>
                <w:sz w:val="22"/>
                <w:szCs w:val="22"/>
                <w:lang w:eastAsia="en-GB"/>
              </w:rPr>
              <w:t>644,115</w:t>
            </w:r>
          </w:p>
        </w:tc>
      </w:tr>
    </w:tbl>
    <w:p w14:paraId="4F0F380C" w14:textId="77777777" w:rsidR="00905780" w:rsidRPr="00905780" w:rsidRDefault="00905780" w:rsidP="00905780">
      <w:pPr>
        <w:ind w:left="567" w:hanging="567"/>
        <w:jc w:val="both"/>
        <w:rPr>
          <w:color w:val="0D0D0D" w:themeColor="text1" w:themeTint="F2"/>
        </w:rPr>
      </w:pPr>
      <w:r w:rsidRPr="00905780">
        <w:rPr>
          <w:color w:val="0D0D0D" w:themeColor="text1" w:themeTint="F2"/>
        </w:rPr>
        <w:fldChar w:fldCharType="end"/>
      </w:r>
    </w:p>
    <w:p w14:paraId="15E60399" w14:textId="6012B41A" w:rsidR="00905780" w:rsidRDefault="00905780" w:rsidP="00905780">
      <w:pPr>
        <w:numPr>
          <w:ilvl w:val="0"/>
          <w:numId w:val="11"/>
        </w:numPr>
        <w:ind w:left="567" w:hanging="567"/>
        <w:jc w:val="both"/>
        <w:rPr>
          <w:color w:val="0D0D0D" w:themeColor="text1" w:themeTint="F2"/>
        </w:rPr>
      </w:pPr>
      <w:r w:rsidRPr="00905780">
        <w:rPr>
          <w:color w:val="0D0D0D" w:themeColor="text1" w:themeTint="F2"/>
        </w:rPr>
        <w:lastRenderedPageBreak/>
        <w:t xml:space="preserve">Table 4 reflects the latest projections for the 2023/24 CFR based on the both the revised budget for 2032/24 and the forecast outturn from the 2023/24 Q2 Capital Budget Monitoring Report, (summarised in tables 1 and 2).  The revised CFR figure for 2023/24 incorporates the impact of the slippage from 2022/23 which was approved to be carried forward into 2023/24 by cabinet in July 2023. </w:t>
      </w:r>
    </w:p>
    <w:p w14:paraId="48944228" w14:textId="77777777" w:rsidR="00381A3E" w:rsidRDefault="00381A3E" w:rsidP="00381A3E">
      <w:pPr>
        <w:ind w:left="567"/>
        <w:jc w:val="both"/>
        <w:rPr>
          <w:color w:val="0D0D0D" w:themeColor="text1" w:themeTint="F2"/>
        </w:rPr>
      </w:pPr>
    </w:p>
    <w:p w14:paraId="73F02D9C" w14:textId="08A5B165" w:rsidR="00381A3E" w:rsidRPr="00B15722" w:rsidRDefault="00381A3E" w:rsidP="00905780">
      <w:pPr>
        <w:numPr>
          <w:ilvl w:val="0"/>
          <w:numId w:val="11"/>
        </w:numPr>
        <w:ind w:left="567" w:hanging="567"/>
        <w:jc w:val="both"/>
        <w:rPr>
          <w:color w:val="0D0D0D" w:themeColor="text1" w:themeTint="F2"/>
        </w:rPr>
      </w:pPr>
      <w:r w:rsidRPr="00B15722">
        <w:rPr>
          <w:color w:val="0D0D0D" w:themeColor="text1" w:themeTint="F2"/>
        </w:rPr>
        <w:t>The starting point  to arrive at the revised CFR is the actual CFR as at 31</w:t>
      </w:r>
      <w:r w:rsidRPr="00B15722">
        <w:rPr>
          <w:color w:val="0D0D0D" w:themeColor="text1" w:themeTint="F2"/>
          <w:vertAlign w:val="superscript"/>
        </w:rPr>
        <w:t>st</w:t>
      </w:r>
      <w:r w:rsidRPr="00B15722">
        <w:rPr>
          <w:color w:val="0D0D0D" w:themeColor="text1" w:themeTint="F2"/>
        </w:rPr>
        <w:t xml:space="preserve"> March 2023. The actual CFR at 31.3.2023 was £579.708m (£418.900m GF &amp; £160.808m HRA).  The CFR based on the revised budget for 2023/24 of £649.934m in Table 4 is arrived at by increasing the actual CFR of £579.708m by £92.943m (for an increase in net financing need) but reducing it by £22.717m which is the Minimum Revenue Provision (MRP).</w:t>
      </w:r>
    </w:p>
    <w:p w14:paraId="3424B2E4" w14:textId="77777777" w:rsidR="00905780" w:rsidRPr="00905780" w:rsidRDefault="00905780" w:rsidP="00905780">
      <w:pPr>
        <w:ind w:left="567" w:hanging="567"/>
        <w:jc w:val="both"/>
        <w:rPr>
          <w:rFonts w:cs="Arial"/>
          <w:bCs/>
          <w:szCs w:val="24"/>
        </w:rPr>
      </w:pPr>
    </w:p>
    <w:p w14:paraId="7EEF920B" w14:textId="3D432AE3" w:rsidR="00905780" w:rsidRPr="00905780" w:rsidRDefault="00905780" w:rsidP="00905780">
      <w:pPr>
        <w:ind w:left="1134" w:hanging="567"/>
        <w:jc w:val="both"/>
        <w:rPr>
          <w:rFonts w:cs="Arial"/>
          <w:bCs/>
          <w:szCs w:val="24"/>
        </w:rPr>
      </w:pPr>
      <w:r w:rsidRPr="00905780">
        <w:rPr>
          <w:noProof/>
        </w:rPr>
        <w:drawing>
          <wp:inline distT="0" distB="0" distL="0" distR="0" wp14:anchorId="021AAC4E" wp14:editId="3BCCDCE6">
            <wp:extent cx="48006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3048000"/>
                    </a:xfrm>
                    <a:prstGeom prst="rect">
                      <a:avLst/>
                    </a:prstGeom>
                    <a:noFill/>
                    <a:ln>
                      <a:noFill/>
                    </a:ln>
                  </pic:spPr>
                </pic:pic>
              </a:graphicData>
            </a:graphic>
          </wp:inline>
        </w:drawing>
      </w:r>
    </w:p>
    <w:p w14:paraId="47C29932" w14:textId="77777777" w:rsidR="00905780" w:rsidRPr="00905780" w:rsidRDefault="00905780" w:rsidP="00905780">
      <w:pPr>
        <w:ind w:left="567" w:hanging="567"/>
        <w:jc w:val="both"/>
        <w:rPr>
          <w:rFonts w:cs="Arial"/>
          <w:bCs/>
          <w:szCs w:val="24"/>
          <w:highlight w:val="yellow"/>
        </w:rPr>
      </w:pPr>
    </w:p>
    <w:p w14:paraId="0F7BEDE8" w14:textId="77777777" w:rsidR="00905780" w:rsidRPr="00905780" w:rsidRDefault="00905780" w:rsidP="00905780">
      <w:pPr>
        <w:ind w:left="567" w:hanging="567"/>
        <w:rPr>
          <w:rFonts w:cs="Arial"/>
          <w:bCs/>
          <w:szCs w:val="24"/>
          <w:lang w:eastAsia="en-GB"/>
        </w:rPr>
      </w:pPr>
    </w:p>
    <w:p w14:paraId="20628F7C" w14:textId="53D35529" w:rsidR="00905780" w:rsidRPr="00905780" w:rsidRDefault="00905780" w:rsidP="00905780">
      <w:pPr>
        <w:keepNext/>
        <w:tabs>
          <w:tab w:val="left" w:pos="3600"/>
        </w:tabs>
        <w:ind w:left="567" w:hanging="567"/>
        <w:outlineLvl w:val="3"/>
        <w:rPr>
          <w:rFonts w:cs="Arial"/>
          <w:b/>
          <w:bCs/>
        </w:rPr>
      </w:pPr>
      <w:r>
        <w:rPr>
          <w:rFonts w:cs="Arial"/>
          <w:b/>
          <w:bCs/>
          <w:szCs w:val="24"/>
        </w:rPr>
        <w:tab/>
      </w:r>
      <w:r w:rsidRPr="00905780">
        <w:rPr>
          <w:rFonts w:cs="Arial"/>
          <w:b/>
          <w:bCs/>
          <w:szCs w:val="24"/>
        </w:rPr>
        <w:t>Authorised Limit and Operational Boundary</w:t>
      </w:r>
    </w:p>
    <w:p w14:paraId="0027565A"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No changes have been proposed to the Council’s Operational Boundary and Authorised Limit which were approved as part of the 2023/24 TMSS on 23 February 2023.</w:t>
      </w:r>
    </w:p>
    <w:p w14:paraId="0028670F" w14:textId="77777777" w:rsidR="00905780" w:rsidRPr="00905780" w:rsidRDefault="00905780" w:rsidP="00905780">
      <w:pPr>
        <w:ind w:left="567" w:hanging="567"/>
        <w:jc w:val="both"/>
        <w:rPr>
          <w:color w:val="0D0D0D" w:themeColor="text1" w:themeTint="F2"/>
        </w:rPr>
      </w:pPr>
    </w:p>
    <w:p w14:paraId="29064BF2" w14:textId="77777777" w:rsidR="00905780" w:rsidRPr="00905780" w:rsidRDefault="00905780" w:rsidP="00905780">
      <w:pPr>
        <w:ind w:left="567"/>
        <w:jc w:val="both"/>
        <w:rPr>
          <w:color w:val="0D0D0D" w:themeColor="text1" w:themeTint="F2"/>
          <w:u w:val="single"/>
        </w:rPr>
      </w:pPr>
      <w:r w:rsidRPr="00905780">
        <w:rPr>
          <w:color w:val="0D0D0D" w:themeColor="text1" w:themeTint="F2"/>
          <w:u w:val="single"/>
        </w:rPr>
        <w:t>Operational Boundary</w:t>
      </w:r>
    </w:p>
    <w:p w14:paraId="719C4C2E"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 xml:space="preserve">This limit is based on the Council’s programme for capital expenditure, Capital Financing Requirement and cash flow needs for the year.  It is the limit beyond which external debt is not normally expected to exceed. </w:t>
      </w:r>
    </w:p>
    <w:p w14:paraId="14236D9F" w14:textId="77777777" w:rsidR="00905780" w:rsidRPr="00905780" w:rsidRDefault="00905780" w:rsidP="00905780">
      <w:pPr>
        <w:ind w:left="567" w:hanging="567"/>
        <w:jc w:val="both"/>
        <w:rPr>
          <w:color w:val="0D0D0D" w:themeColor="text1" w:themeTint="F2"/>
        </w:rPr>
      </w:pPr>
    </w:p>
    <w:p w14:paraId="2E313405" w14:textId="3FCFBD56" w:rsidR="00905780" w:rsidRPr="00905780" w:rsidRDefault="003327CC" w:rsidP="00905780">
      <w:pPr>
        <w:ind w:left="567"/>
        <w:jc w:val="both"/>
        <w:rPr>
          <w:color w:val="0D0D0D" w:themeColor="text1" w:themeTint="F2"/>
        </w:rPr>
      </w:pPr>
      <w:r w:rsidRPr="003327CC">
        <w:rPr>
          <w:noProof/>
        </w:rPr>
        <w:drawing>
          <wp:inline distT="0" distB="0" distL="0" distR="0" wp14:anchorId="3D9D1F3A" wp14:editId="67FA9896">
            <wp:extent cx="3657600" cy="12141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9679" cy="1214817"/>
                    </a:xfrm>
                    <a:prstGeom prst="rect">
                      <a:avLst/>
                    </a:prstGeom>
                    <a:noFill/>
                    <a:ln>
                      <a:noFill/>
                    </a:ln>
                  </pic:spPr>
                </pic:pic>
              </a:graphicData>
            </a:graphic>
          </wp:inline>
        </w:drawing>
      </w:r>
    </w:p>
    <w:p w14:paraId="565418E7" w14:textId="2A3585E2" w:rsidR="00905780" w:rsidRDefault="00905780" w:rsidP="00905780">
      <w:pPr>
        <w:ind w:left="567" w:hanging="567"/>
        <w:jc w:val="both"/>
      </w:pPr>
    </w:p>
    <w:p w14:paraId="625DEB0B" w14:textId="480EEAD3" w:rsidR="00B15722" w:rsidRDefault="00B15722" w:rsidP="00905780">
      <w:pPr>
        <w:ind w:left="567" w:hanging="567"/>
        <w:jc w:val="both"/>
      </w:pPr>
    </w:p>
    <w:p w14:paraId="7F5374B8" w14:textId="77777777" w:rsidR="00B15722" w:rsidRPr="00905780" w:rsidRDefault="00B15722" w:rsidP="00905780">
      <w:pPr>
        <w:ind w:left="567" w:hanging="567"/>
        <w:jc w:val="both"/>
      </w:pPr>
    </w:p>
    <w:p w14:paraId="734C3A52" w14:textId="77777777" w:rsidR="00905780" w:rsidRPr="00905780" w:rsidRDefault="00905780" w:rsidP="00905780">
      <w:pPr>
        <w:ind w:left="567"/>
        <w:jc w:val="both"/>
        <w:rPr>
          <w:u w:val="single"/>
        </w:rPr>
      </w:pPr>
      <w:r w:rsidRPr="00905780">
        <w:rPr>
          <w:u w:val="single"/>
        </w:rPr>
        <w:lastRenderedPageBreak/>
        <w:t>Authorised Limit</w:t>
      </w:r>
    </w:p>
    <w:p w14:paraId="4E6644EA" w14:textId="77777777" w:rsidR="00905780" w:rsidRPr="00905780" w:rsidRDefault="00905780" w:rsidP="00905780">
      <w:pPr>
        <w:numPr>
          <w:ilvl w:val="0"/>
          <w:numId w:val="11"/>
        </w:numPr>
        <w:ind w:left="567" w:hanging="567"/>
        <w:jc w:val="both"/>
        <w:rPr>
          <w:color w:val="0D0D0D" w:themeColor="text1" w:themeTint="F2"/>
        </w:rPr>
      </w:pPr>
      <w:r w:rsidRPr="00905780">
        <w:rPr>
          <w:color w:val="0D0D0D" w:themeColor="text1" w:themeTint="F2"/>
        </w:rPr>
        <w:t xml:space="preserve">This is a key prudential indicator and represents a control on the maximum level of borrowing. This represents a legal limit beyond which external debt is prohibited, and this limit needs to be set or revised by full Council.  </w:t>
      </w:r>
    </w:p>
    <w:p w14:paraId="446E98DA" w14:textId="77777777" w:rsidR="00905780" w:rsidRPr="00905780" w:rsidRDefault="00905780" w:rsidP="00905780">
      <w:pPr>
        <w:ind w:left="567" w:hanging="567"/>
        <w:jc w:val="both"/>
        <w:rPr>
          <w:rFonts w:cs="Arial"/>
          <w:szCs w:val="24"/>
          <w:lang w:eastAsia="en-GB"/>
        </w:rPr>
      </w:pPr>
    </w:p>
    <w:p w14:paraId="61EAC6D9" w14:textId="77777777" w:rsidR="00905780" w:rsidRPr="00905780" w:rsidRDefault="00905780" w:rsidP="00905780">
      <w:pPr>
        <w:numPr>
          <w:ilvl w:val="0"/>
          <w:numId w:val="11"/>
        </w:numPr>
        <w:ind w:left="567" w:hanging="567"/>
        <w:jc w:val="both"/>
      </w:pPr>
      <w:r w:rsidRPr="00905780">
        <w:rPr>
          <w:color w:val="0D0D0D" w:themeColor="text1" w:themeTint="F2"/>
        </w:rPr>
        <w:t>It is the statutory limit determined under section 3(1) of the Local Government Act 2003.  Under the Act, the Government retains an option to control either the total of all councils’ plans, or those of a specific council, although this power has not yet been exercised.</w:t>
      </w:r>
    </w:p>
    <w:p w14:paraId="06DB6301" w14:textId="25F82BB6" w:rsidR="00905780" w:rsidRPr="00905780" w:rsidRDefault="00905780" w:rsidP="00905780">
      <w:pPr>
        <w:ind w:left="567"/>
      </w:pPr>
      <w:r w:rsidRPr="00905780">
        <w:rPr>
          <w:noProof/>
        </w:rPr>
        <w:drawing>
          <wp:inline distT="0" distB="0" distL="0" distR="0" wp14:anchorId="6DF80A68" wp14:editId="5DD1740E">
            <wp:extent cx="3074871" cy="1249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5241" cy="1249830"/>
                    </a:xfrm>
                    <a:prstGeom prst="rect">
                      <a:avLst/>
                    </a:prstGeom>
                    <a:noFill/>
                    <a:ln>
                      <a:noFill/>
                    </a:ln>
                  </pic:spPr>
                </pic:pic>
              </a:graphicData>
            </a:graphic>
          </wp:inline>
        </w:drawing>
      </w:r>
    </w:p>
    <w:p w14:paraId="2971CD9E" w14:textId="77777777" w:rsidR="00905780" w:rsidRPr="00905780" w:rsidRDefault="00905780" w:rsidP="00905780">
      <w:pPr>
        <w:ind w:left="567" w:hanging="567"/>
      </w:pPr>
    </w:p>
    <w:p w14:paraId="0DE9FF57" w14:textId="77777777" w:rsidR="00905780" w:rsidRPr="00905780" w:rsidRDefault="00905780" w:rsidP="00905780">
      <w:pPr>
        <w:ind w:left="567" w:hanging="567"/>
      </w:pPr>
    </w:p>
    <w:p w14:paraId="64F57762" w14:textId="77777777" w:rsidR="00905780" w:rsidRPr="00905780" w:rsidRDefault="00905780" w:rsidP="00905780">
      <w:pPr>
        <w:numPr>
          <w:ilvl w:val="0"/>
          <w:numId w:val="19"/>
        </w:numPr>
        <w:ind w:left="567" w:hanging="567"/>
        <w:outlineLvl w:val="1"/>
        <w:rPr>
          <w:rFonts w:cs="Arial"/>
          <w:b/>
          <w:bCs/>
          <w:sz w:val="28"/>
          <w:szCs w:val="28"/>
        </w:rPr>
      </w:pPr>
      <w:r w:rsidRPr="00905780">
        <w:rPr>
          <w:rFonts w:cs="Arial"/>
          <w:b/>
          <w:bCs/>
          <w:sz w:val="28"/>
          <w:szCs w:val="28"/>
        </w:rPr>
        <w:t xml:space="preserve">Economic Update </w:t>
      </w:r>
    </w:p>
    <w:p w14:paraId="37F1CF15" w14:textId="77777777" w:rsidR="00905780" w:rsidRPr="00905780" w:rsidRDefault="00905780" w:rsidP="00905780">
      <w:pPr>
        <w:ind w:left="567" w:hanging="567"/>
      </w:pPr>
    </w:p>
    <w:p w14:paraId="52A2225C" w14:textId="7287506E" w:rsidR="00905780" w:rsidRPr="00B15722" w:rsidRDefault="00905780" w:rsidP="00905780">
      <w:pPr>
        <w:numPr>
          <w:ilvl w:val="0"/>
          <w:numId w:val="19"/>
        </w:numPr>
        <w:ind w:left="567" w:hanging="567"/>
        <w:jc w:val="both"/>
      </w:pPr>
      <w:r w:rsidRPr="00B15722">
        <w:t xml:space="preserve">The </w:t>
      </w:r>
      <w:r w:rsidR="00381A3E" w:rsidRPr="00B15722">
        <w:t>first half of 2023/24 saw Interest rates rise by a further 100bps, taking Bank Rate from 4.25% to 5.25% and, possibly, the peak in the tightening cycle. At the Bank of England’s latest meeting on 2</w:t>
      </w:r>
      <w:r w:rsidR="00381A3E" w:rsidRPr="00B15722">
        <w:rPr>
          <w:vertAlign w:val="superscript"/>
        </w:rPr>
        <w:t>nd</w:t>
      </w:r>
      <w:r w:rsidR="00381A3E" w:rsidRPr="00B15722">
        <w:t xml:space="preserve"> November, the rate remained unchanged at 5.25%.</w:t>
      </w:r>
    </w:p>
    <w:p w14:paraId="310CF312" w14:textId="77777777" w:rsidR="00905780" w:rsidRPr="00B15722" w:rsidRDefault="00905780" w:rsidP="00905780">
      <w:pPr>
        <w:ind w:left="567" w:hanging="567"/>
        <w:jc w:val="both"/>
      </w:pPr>
    </w:p>
    <w:p w14:paraId="58D5D699" w14:textId="0361077F" w:rsidR="00905780" w:rsidRPr="00B15722" w:rsidRDefault="00905780" w:rsidP="00905780">
      <w:pPr>
        <w:numPr>
          <w:ilvl w:val="0"/>
          <w:numId w:val="19"/>
        </w:numPr>
        <w:ind w:left="567" w:hanging="567"/>
        <w:jc w:val="both"/>
      </w:pPr>
      <w:r w:rsidRPr="00B15722">
        <w:t xml:space="preserve">CPI </w:t>
      </w:r>
      <w:r w:rsidR="00381A3E" w:rsidRPr="00B15722">
        <w:t>inflation fell from 8.7% in April to 6.7% in September, its lowest rate since February 2022.</w:t>
      </w:r>
    </w:p>
    <w:p w14:paraId="1E969C5A" w14:textId="77777777" w:rsidR="00905780" w:rsidRPr="00905780" w:rsidRDefault="00905780" w:rsidP="00905780">
      <w:pPr>
        <w:ind w:left="567" w:hanging="567"/>
        <w:jc w:val="both"/>
      </w:pPr>
    </w:p>
    <w:p w14:paraId="12F8EA56" w14:textId="50225890" w:rsidR="00905780" w:rsidRPr="00905780" w:rsidRDefault="00905780" w:rsidP="00905780">
      <w:pPr>
        <w:keepNext/>
        <w:tabs>
          <w:tab w:val="left" w:pos="3600"/>
        </w:tabs>
        <w:ind w:left="567" w:hanging="567"/>
        <w:jc w:val="both"/>
        <w:outlineLvl w:val="3"/>
        <w:rPr>
          <w:rFonts w:cs="Arial"/>
          <w:b/>
        </w:rPr>
      </w:pPr>
      <w:r>
        <w:rPr>
          <w:rFonts w:cs="Arial"/>
          <w:b/>
          <w:bCs/>
          <w:szCs w:val="24"/>
        </w:rPr>
        <w:tab/>
      </w:r>
      <w:r w:rsidRPr="00905780">
        <w:rPr>
          <w:rFonts w:cs="Arial"/>
          <w:b/>
          <w:bCs/>
          <w:szCs w:val="24"/>
        </w:rPr>
        <w:t>Interest Rate Forecast</w:t>
      </w:r>
    </w:p>
    <w:p w14:paraId="72429D36" w14:textId="77777777" w:rsidR="00905780" w:rsidRPr="00905780" w:rsidRDefault="00905780" w:rsidP="00905780">
      <w:pPr>
        <w:numPr>
          <w:ilvl w:val="0"/>
          <w:numId w:val="19"/>
        </w:numPr>
        <w:ind w:left="567" w:hanging="567"/>
        <w:jc w:val="both"/>
        <w:rPr>
          <w:lang w:val="en-AU"/>
        </w:rPr>
      </w:pPr>
      <w:r w:rsidRPr="00905780">
        <w:rPr>
          <w:lang w:val="en-AU"/>
        </w:rPr>
        <w:t>The PWLB rate forecasts below are based on the Certainty Rate (the standard rate minus 20 bps) which has been accessible to most authorities since 1</w:t>
      </w:r>
      <w:r w:rsidRPr="00905780">
        <w:rPr>
          <w:vertAlign w:val="superscript"/>
          <w:lang w:val="en-AU"/>
        </w:rPr>
        <w:t>st</w:t>
      </w:r>
      <w:r w:rsidRPr="00905780">
        <w:rPr>
          <w:lang w:val="en-AU"/>
        </w:rPr>
        <w:t xml:space="preserve"> November 2012.</w:t>
      </w:r>
    </w:p>
    <w:p w14:paraId="009614C3" w14:textId="77777777" w:rsidR="00905780" w:rsidRPr="00905780" w:rsidRDefault="00905780" w:rsidP="00905780">
      <w:pPr>
        <w:ind w:left="567" w:hanging="567"/>
        <w:jc w:val="both"/>
        <w:rPr>
          <w:lang w:val="en-AU"/>
        </w:rPr>
      </w:pPr>
    </w:p>
    <w:p w14:paraId="18A71EEF" w14:textId="77777777" w:rsidR="00905780" w:rsidRPr="00905780" w:rsidRDefault="00905780" w:rsidP="00905780">
      <w:pPr>
        <w:numPr>
          <w:ilvl w:val="0"/>
          <w:numId w:val="19"/>
        </w:numPr>
        <w:ind w:left="567" w:hanging="567"/>
        <w:jc w:val="both"/>
        <w:rPr>
          <w:lang w:val="en-AU"/>
        </w:rPr>
      </w:pPr>
      <w:r w:rsidRPr="00905780">
        <w:rPr>
          <w:lang w:val="en-AU"/>
        </w:rPr>
        <w:t>The latest forecast on 25</w:t>
      </w:r>
      <w:r w:rsidRPr="00905780">
        <w:rPr>
          <w:vertAlign w:val="superscript"/>
          <w:lang w:val="en-AU"/>
        </w:rPr>
        <w:t>th</w:t>
      </w:r>
      <w:r w:rsidRPr="00905780">
        <w:rPr>
          <w:lang w:val="en-AU"/>
        </w:rPr>
        <w:t xml:space="preserve"> September sets out a view that short, </w:t>
      </w:r>
      <w:proofErr w:type="gramStart"/>
      <w:r w:rsidRPr="00905780">
        <w:rPr>
          <w:lang w:val="en-AU"/>
        </w:rPr>
        <w:t>medium</w:t>
      </w:r>
      <w:proofErr w:type="gramEnd"/>
      <w:r w:rsidRPr="00905780">
        <w:rPr>
          <w:lang w:val="en-AU"/>
        </w:rPr>
        <w:t xml:space="preserve"> and long-dated interest rates will be elevated for some little while, as the Bank of England seeks to squeeze inflation out of the economy. </w:t>
      </w:r>
    </w:p>
    <w:p w14:paraId="5E5A831A" w14:textId="77777777" w:rsidR="00905780" w:rsidRPr="00905780" w:rsidRDefault="00905780" w:rsidP="00905780">
      <w:pPr>
        <w:ind w:left="567" w:hanging="567"/>
        <w:jc w:val="both"/>
        <w:rPr>
          <w:lang w:val="en-AU"/>
        </w:rPr>
      </w:pPr>
    </w:p>
    <w:p w14:paraId="12840254" w14:textId="77777777" w:rsidR="00905780" w:rsidRPr="00905780" w:rsidRDefault="00905780" w:rsidP="00905780">
      <w:pPr>
        <w:ind w:left="567" w:hanging="567"/>
        <w:jc w:val="both"/>
      </w:pPr>
    </w:p>
    <w:p w14:paraId="6D5A185F" w14:textId="7408A5BA" w:rsidR="00905780" w:rsidRPr="00905780" w:rsidRDefault="0030439B" w:rsidP="00905780">
      <w:pPr>
        <w:ind w:left="567"/>
      </w:pPr>
      <w:r>
        <w:rPr>
          <w:noProof/>
        </w:rPr>
        <w:drawing>
          <wp:inline distT="0" distB="0" distL="0" distR="0" wp14:anchorId="5E49ECC9" wp14:editId="613CC970">
            <wp:extent cx="6120765" cy="116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164590"/>
                    </a:xfrm>
                    <a:prstGeom prst="rect">
                      <a:avLst/>
                    </a:prstGeom>
                    <a:noFill/>
                  </pic:spPr>
                </pic:pic>
              </a:graphicData>
            </a:graphic>
          </wp:inline>
        </w:drawing>
      </w:r>
    </w:p>
    <w:p w14:paraId="3465D5C5" w14:textId="77777777" w:rsidR="00905780" w:rsidRPr="00905780" w:rsidRDefault="00905780" w:rsidP="00905780">
      <w:pPr>
        <w:ind w:left="567" w:hanging="567"/>
        <w:rPr>
          <w:rFonts w:cs="Arial"/>
          <w:bCs/>
          <w:szCs w:val="24"/>
          <w:lang w:eastAsia="en-GB"/>
        </w:rPr>
      </w:pPr>
    </w:p>
    <w:p w14:paraId="41C6B7B7" w14:textId="77777777" w:rsidR="00905780" w:rsidRPr="00905780" w:rsidRDefault="00905780" w:rsidP="00905780">
      <w:pPr>
        <w:numPr>
          <w:ilvl w:val="0"/>
          <w:numId w:val="12"/>
        </w:numPr>
        <w:ind w:left="567" w:hanging="567"/>
        <w:outlineLvl w:val="1"/>
        <w:rPr>
          <w:rFonts w:cs="Arial"/>
          <w:b/>
          <w:bCs/>
          <w:sz w:val="28"/>
          <w:szCs w:val="28"/>
        </w:rPr>
      </w:pPr>
      <w:r w:rsidRPr="00905780">
        <w:rPr>
          <w:rFonts w:cs="Arial"/>
          <w:b/>
          <w:bCs/>
          <w:sz w:val="28"/>
          <w:szCs w:val="28"/>
        </w:rPr>
        <w:t>Treasury Position as at 30 September 2023</w:t>
      </w:r>
    </w:p>
    <w:p w14:paraId="7F82B674" w14:textId="77777777" w:rsidR="00905780" w:rsidRPr="00905780" w:rsidRDefault="00905780" w:rsidP="00905780">
      <w:pPr>
        <w:ind w:left="567" w:hanging="567"/>
      </w:pPr>
    </w:p>
    <w:p w14:paraId="549E6B36" w14:textId="76ACCAC6" w:rsidR="00905780" w:rsidRPr="00905780" w:rsidRDefault="00905780" w:rsidP="00905780">
      <w:pPr>
        <w:keepNext/>
        <w:tabs>
          <w:tab w:val="left" w:pos="3600"/>
        </w:tabs>
        <w:ind w:left="567" w:hanging="567"/>
        <w:outlineLvl w:val="3"/>
        <w:rPr>
          <w:rFonts w:cs="Arial"/>
          <w:b/>
          <w:szCs w:val="24"/>
        </w:rPr>
      </w:pPr>
      <w:r>
        <w:rPr>
          <w:rFonts w:cs="Arial"/>
          <w:b/>
          <w:szCs w:val="24"/>
        </w:rPr>
        <w:tab/>
      </w:r>
      <w:r w:rsidRPr="00905780">
        <w:rPr>
          <w:rFonts w:cs="Arial"/>
          <w:b/>
          <w:szCs w:val="24"/>
        </w:rPr>
        <w:t>Investments</w:t>
      </w:r>
    </w:p>
    <w:p w14:paraId="5C83E62F" w14:textId="485134AD" w:rsid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 xml:space="preserve">In accordance with the CIPFA Treasury Management Code of Practice and </w:t>
      </w:r>
      <w:r w:rsidR="00FE437A" w:rsidRPr="00033463">
        <w:rPr>
          <w:rFonts w:eastAsia="Bliss 2 Regular" w:cs="Arial"/>
          <w:color w:val="0D0D0D"/>
        </w:rPr>
        <w:t xml:space="preserve">DLUHC (Previously </w:t>
      </w:r>
      <w:r w:rsidRPr="00033463">
        <w:rPr>
          <w:rFonts w:eastAsia="Bliss 2 Regular" w:cs="Arial"/>
          <w:color w:val="0D0D0D"/>
        </w:rPr>
        <w:t>MHCLG</w:t>
      </w:r>
      <w:r w:rsidR="00FE437A" w:rsidRPr="00033463">
        <w:rPr>
          <w:rFonts w:eastAsia="Bliss 2 Regular" w:cs="Arial"/>
          <w:color w:val="0D0D0D"/>
        </w:rPr>
        <w:t>)</w:t>
      </w:r>
      <w:r w:rsidRPr="00033463">
        <w:rPr>
          <w:rFonts w:eastAsia="Bliss 2 Regular" w:cs="Arial"/>
          <w:color w:val="0D0D0D"/>
        </w:rPr>
        <w:t xml:space="preserve"> Investment</w:t>
      </w:r>
      <w:r w:rsidRPr="00905780">
        <w:rPr>
          <w:rFonts w:eastAsia="Bliss 2 Regular" w:cs="Arial"/>
          <w:color w:val="0D0D0D"/>
        </w:rPr>
        <w:t xml:space="preserve"> Guidance, the TMSS sets out the Council’s investment priorities as being:</w:t>
      </w:r>
    </w:p>
    <w:p w14:paraId="6E5EB998" w14:textId="77777777" w:rsidR="00881B81" w:rsidRPr="00905780" w:rsidRDefault="00881B81" w:rsidP="00881B81">
      <w:pPr>
        <w:ind w:left="567"/>
        <w:jc w:val="both"/>
        <w:rPr>
          <w:rFonts w:eastAsia="Bliss 2 Regular" w:cs="Arial"/>
          <w:color w:val="0D0D0D"/>
        </w:rPr>
      </w:pPr>
    </w:p>
    <w:p w14:paraId="4B2284AC" w14:textId="77777777" w:rsidR="00905780" w:rsidRPr="00905780" w:rsidRDefault="00905780" w:rsidP="00905780">
      <w:pPr>
        <w:numPr>
          <w:ilvl w:val="0"/>
          <w:numId w:val="6"/>
        </w:numPr>
        <w:spacing w:line="280" w:lineRule="exact"/>
        <w:ind w:left="567" w:firstLine="426"/>
        <w:jc w:val="both"/>
        <w:rPr>
          <w:rFonts w:eastAsia="Bliss 2 Regular" w:cs="Arial"/>
          <w:color w:val="0D0D0D"/>
        </w:rPr>
      </w:pPr>
      <w:r w:rsidRPr="00905780">
        <w:rPr>
          <w:rFonts w:eastAsia="Bliss 2 Regular" w:cs="Arial"/>
          <w:color w:val="0D0D0D"/>
        </w:rPr>
        <w:lastRenderedPageBreak/>
        <w:t>Security of capital</w:t>
      </w:r>
    </w:p>
    <w:p w14:paraId="06488E09" w14:textId="77777777" w:rsidR="00905780" w:rsidRPr="00905780" w:rsidRDefault="00905780" w:rsidP="00905780">
      <w:pPr>
        <w:numPr>
          <w:ilvl w:val="0"/>
          <w:numId w:val="6"/>
        </w:numPr>
        <w:spacing w:line="280" w:lineRule="exact"/>
        <w:ind w:left="567" w:firstLine="426"/>
        <w:jc w:val="both"/>
        <w:rPr>
          <w:rFonts w:eastAsia="Bliss 2 Regular" w:cs="Arial"/>
          <w:color w:val="0D0D0D"/>
        </w:rPr>
      </w:pPr>
      <w:r w:rsidRPr="00905780">
        <w:rPr>
          <w:rFonts w:eastAsia="Bliss 2 Regular" w:cs="Arial"/>
          <w:color w:val="0D0D0D"/>
        </w:rPr>
        <w:t>Liquidity</w:t>
      </w:r>
    </w:p>
    <w:p w14:paraId="287D90B0" w14:textId="77777777" w:rsidR="00905780" w:rsidRPr="00905780" w:rsidRDefault="00905780" w:rsidP="00905780">
      <w:pPr>
        <w:numPr>
          <w:ilvl w:val="0"/>
          <w:numId w:val="6"/>
        </w:numPr>
        <w:spacing w:line="280" w:lineRule="exact"/>
        <w:ind w:left="567" w:firstLine="426"/>
        <w:jc w:val="both"/>
        <w:rPr>
          <w:rFonts w:eastAsia="Bliss 2 Regular" w:cs="Arial"/>
          <w:color w:val="0D0D0D"/>
        </w:rPr>
      </w:pPr>
      <w:r w:rsidRPr="00905780">
        <w:rPr>
          <w:rFonts w:eastAsia="Bliss 2 Regular" w:cs="Arial"/>
          <w:color w:val="0D0D0D"/>
        </w:rPr>
        <w:t>Yield</w:t>
      </w:r>
    </w:p>
    <w:p w14:paraId="74248A39" w14:textId="77777777" w:rsidR="00905780" w:rsidRPr="00905780" w:rsidRDefault="00905780" w:rsidP="00905780">
      <w:pPr>
        <w:ind w:left="567" w:hanging="567"/>
        <w:jc w:val="both"/>
        <w:rPr>
          <w:rFonts w:eastAsia="Bliss 2 Regular" w:cs="Arial"/>
          <w:i/>
          <w:color w:val="0D0D0D"/>
        </w:rPr>
      </w:pPr>
    </w:p>
    <w:p w14:paraId="38D7A831" w14:textId="77777777"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 Council will aim to achieve the optimum return (yield) on its investments commensurate with proper levels of security and liquidity and with the Council’s risk appetite. In the current economic climate, it is considered appropriate to keep investments short term to cover cash flow needs, but also to seek out value available in periods up to 12 months with high credit rated financial institutions.</w:t>
      </w:r>
    </w:p>
    <w:p w14:paraId="445C2077" w14:textId="77777777" w:rsidR="00905780" w:rsidRPr="00905780" w:rsidRDefault="00905780" w:rsidP="00905780">
      <w:pPr>
        <w:ind w:left="567" w:hanging="567"/>
        <w:jc w:val="both"/>
        <w:rPr>
          <w:rFonts w:eastAsia="Bliss 2 Regular" w:cs="Arial"/>
          <w:color w:val="0D0D0D"/>
        </w:rPr>
      </w:pPr>
    </w:p>
    <w:p w14:paraId="1D5645B5" w14:textId="419D1F36" w:rsidR="00905780" w:rsidRPr="00905780" w:rsidRDefault="00905780" w:rsidP="00905780">
      <w:pPr>
        <w:ind w:left="567"/>
        <w:jc w:val="both"/>
        <w:rPr>
          <w:rFonts w:eastAsia="Bliss 2 Regular" w:cs="Arial"/>
          <w:color w:val="0D0D0D"/>
        </w:rPr>
      </w:pPr>
      <w:r w:rsidRPr="00905780">
        <w:rPr>
          <w:rFonts w:eastAsia="Bliss 2 Regular"/>
          <w:noProof/>
        </w:rPr>
        <w:drawing>
          <wp:inline distT="0" distB="0" distL="0" distR="0" wp14:anchorId="1CE332FF" wp14:editId="141E1DBD">
            <wp:extent cx="5850890" cy="1354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890" cy="1354455"/>
                    </a:xfrm>
                    <a:prstGeom prst="rect">
                      <a:avLst/>
                    </a:prstGeom>
                    <a:noFill/>
                    <a:ln>
                      <a:noFill/>
                    </a:ln>
                  </pic:spPr>
                </pic:pic>
              </a:graphicData>
            </a:graphic>
          </wp:inline>
        </w:drawing>
      </w:r>
    </w:p>
    <w:p w14:paraId="11BCE761" w14:textId="77777777" w:rsidR="00905780" w:rsidRPr="00905780" w:rsidRDefault="00905780" w:rsidP="00905780">
      <w:pPr>
        <w:ind w:left="567" w:hanging="567"/>
        <w:jc w:val="both"/>
        <w:rPr>
          <w:rFonts w:eastAsia="Bliss 2 Regular" w:cs="Arial"/>
          <w:color w:val="0D0D0D"/>
        </w:rPr>
      </w:pPr>
    </w:p>
    <w:p w14:paraId="170537AD" w14:textId="77777777" w:rsidR="00905780" w:rsidRPr="00905780" w:rsidRDefault="00905780" w:rsidP="00905780">
      <w:pPr>
        <w:ind w:left="567" w:hanging="567"/>
        <w:jc w:val="both"/>
        <w:rPr>
          <w:rFonts w:eastAsia="Bliss 2 Regular" w:cs="Arial"/>
          <w:color w:val="0D0D0D"/>
        </w:rPr>
      </w:pPr>
    </w:p>
    <w:p w14:paraId="3E35AD9B" w14:textId="77777777"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 Council held £113.1m of investments as at 30 September 2023 compared with £79m at 31 March 2023.  The portfolio remains highly liquid with the yield reflecting the current market for liquid investments.  The internal borrowing strategy of the Authority, focusing on minimising the net cost of borrowing, also prevents longer term investment with a consequential impact on investment return.</w:t>
      </w:r>
    </w:p>
    <w:p w14:paraId="2C51F145" w14:textId="77777777" w:rsidR="00905780" w:rsidRPr="00905780" w:rsidRDefault="00905780" w:rsidP="00905780">
      <w:pPr>
        <w:ind w:left="567" w:hanging="567"/>
        <w:jc w:val="both"/>
        <w:rPr>
          <w:rFonts w:eastAsia="Bliss 2 Regular" w:cs="Arial"/>
          <w:color w:val="0D0D0D"/>
          <w:highlight w:val="yellow"/>
        </w:rPr>
      </w:pPr>
    </w:p>
    <w:p w14:paraId="5EA1B55D" w14:textId="43C72181" w:rsidR="00905780" w:rsidRPr="00905780" w:rsidRDefault="000F7A6E" w:rsidP="00905780">
      <w:pPr>
        <w:numPr>
          <w:ilvl w:val="0"/>
          <w:numId w:val="12"/>
        </w:numPr>
        <w:ind w:left="567" w:hanging="567"/>
        <w:jc w:val="both"/>
        <w:rPr>
          <w:rFonts w:eastAsia="Bliss 2 Regular" w:cs="Arial"/>
          <w:color w:val="0D0D0D"/>
        </w:rPr>
      </w:pPr>
      <w:r w:rsidRPr="000F7A6E">
        <w:rPr>
          <w:rFonts w:eastAsia="Bliss 2 Regular" w:cs="Arial"/>
          <w:color w:val="0D0D0D"/>
        </w:rPr>
        <w:t>The Council’s investment income budget for 2023/24 is £1.104m and the forecast outturn is £2.663m. This includes income from the £15m loan to the West London Waste Authority which the Council approved in July 2013 to finance the cost of a new energy waste plant. The term of the loan is 25 years at an interest rate of 7.604%. Loan balance when plant went live was £16.89m which included interest accrued from 2013 upto 2016. The loan balance at the 31 March 2023 was £14.91m.</w:t>
      </w:r>
      <w:r w:rsidR="00905780" w:rsidRPr="00905780">
        <w:rPr>
          <w:rFonts w:eastAsia="Bliss 2 Regular" w:cs="Arial"/>
          <w:color w:val="0D0D0D"/>
        </w:rPr>
        <w:t>.</w:t>
      </w:r>
    </w:p>
    <w:p w14:paraId="7CB78DB1" w14:textId="77777777" w:rsidR="00905780" w:rsidRPr="00905780" w:rsidRDefault="00905780" w:rsidP="00905780">
      <w:pPr>
        <w:ind w:left="567" w:hanging="567"/>
        <w:jc w:val="both"/>
        <w:rPr>
          <w:rFonts w:eastAsia="Bliss 2 Regular" w:cs="Arial"/>
          <w:color w:val="0D0D0D"/>
        </w:rPr>
      </w:pPr>
    </w:p>
    <w:p w14:paraId="28C3C87F" w14:textId="3C694D82"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 xml:space="preserve">During the period cash investments have been held with Royal London, DWS and Fidelity Money Market Funds, DMO, Lloyds, Royal Bank of Scotland PLC, and Handelsbanken.  Counterparty use has been </w:t>
      </w:r>
      <w:r w:rsidR="00381A3E">
        <w:rPr>
          <w:rFonts w:eastAsia="Bliss 2 Regular" w:cs="Arial"/>
          <w:color w:val="0D0D0D"/>
        </w:rPr>
        <w:t>i</w:t>
      </w:r>
      <w:r w:rsidRPr="00905780">
        <w:rPr>
          <w:rFonts w:eastAsia="Bliss 2 Regular" w:cs="Arial"/>
          <w:color w:val="0D0D0D"/>
        </w:rPr>
        <w:t xml:space="preserve">n accordance with the credit criteria set out in the TMSS.  Officers can confirm that the approved limits within the Annual Investment Strategy have not been breached to the period of </w:t>
      </w:r>
      <w:proofErr w:type="gramStart"/>
      <w:r w:rsidRPr="00905780">
        <w:rPr>
          <w:rFonts w:eastAsia="Bliss 2 Regular" w:cs="Arial"/>
          <w:color w:val="0D0D0D"/>
        </w:rPr>
        <w:t>21th</w:t>
      </w:r>
      <w:proofErr w:type="gramEnd"/>
      <w:r w:rsidRPr="00905780">
        <w:rPr>
          <w:rFonts w:eastAsia="Bliss 2 Regular" w:cs="Arial"/>
          <w:color w:val="0D0D0D"/>
        </w:rPr>
        <w:t xml:space="preserve"> November 2023.</w:t>
      </w:r>
    </w:p>
    <w:p w14:paraId="79EF7A16" w14:textId="77777777" w:rsidR="00905780" w:rsidRPr="00905780" w:rsidRDefault="00905780" w:rsidP="00905780">
      <w:pPr>
        <w:ind w:left="567" w:hanging="567"/>
        <w:jc w:val="both"/>
        <w:rPr>
          <w:rFonts w:eastAsia="Bliss 2 Regular" w:cs="Arial"/>
          <w:color w:val="0D0D0D"/>
        </w:rPr>
      </w:pPr>
    </w:p>
    <w:p w14:paraId="732BA8E8" w14:textId="77777777"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There are no changes proposed to the Council’s Investment Counterparty Criteria approved in the 2023/24 TMSS.</w:t>
      </w:r>
    </w:p>
    <w:p w14:paraId="6CFBC37D" w14:textId="77777777" w:rsidR="00905780" w:rsidRPr="00905780" w:rsidRDefault="00905780" w:rsidP="00905780">
      <w:pPr>
        <w:ind w:left="567" w:hanging="567"/>
        <w:jc w:val="both"/>
        <w:rPr>
          <w:color w:val="0D0D0D" w:themeColor="text1" w:themeTint="F2"/>
        </w:rPr>
      </w:pPr>
    </w:p>
    <w:p w14:paraId="11879251" w14:textId="388EE1F0" w:rsidR="00905780" w:rsidRPr="00905780" w:rsidRDefault="00905780" w:rsidP="00905780">
      <w:pPr>
        <w:keepNext/>
        <w:tabs>
          <w:tab w:val="left" w:pos="3600"/>
        </w:tabs>
        <w:ind w:left="567" w:hanging="567"/>
        <w:outlineLvl w:val="3"/>
        <w:rPr>
          <w:rFonts w:cs="Arial"/>
          <w:b/>
          <w:szCs w:val="24"/>
        </w:rPr>
      </w:pPr>
      <w:bookmarkStart w:id="0" w:name="_Hlk89167501"/>
      <w:r>
        <w:rPr>
          <w:rFonts w:cs="Arial"/>
          <w:b/>
          <w:szCs w:val="24"/>
        </w:rPr>
        <w:tab/>
      </w:r>
      <w:r w:rsidRPr="00905780">
        <w:rPr>
          <w:rFonts w:cs="Arial"/>
          <w:b/>
          <w:szCs w:val="24"/>
        </w:rPr>
        <w:t>Borrowing</w:t>
      </w:r>
    </w:p>
    <w:p w14:paraId="1904E34D" w14:textId="77777777"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 Council continues to run an internal borrowing strategy with a borrowing portfolio of £417m (excluding £17.6m of PFI and Finance Lease Liabilities) which is below the actual CFR of £580m as at 31 March 2023 and the revised estimate of the CFR for 31</w:t>
      </w:r>
      <w:r w:rsidRPr="00905780">
        <w:rPr>
          <w:rFonts w:eastAsia="Bliss 2 Regular" w:cs="Arial"/>
          <w:color w:val="0D0D0D"/>
          <w:vertAlign w:val="superscript"/>
        </w:rPr>
        <w:t xml:space="preserve"> </w:t>
      </w:r>
      <w:r w:rsidRPr="00905780">
        <w:rPr>
          <w:rFonts w:eastAsia="Bliss 2 Regular" w:cs="Arial"/>
          <w:color w:val="0D0D0D"/>
        </w:rPr>
        <w:t>March 2024 of £615m, based on the forecast outturn for the period from the 2023/24 Q2 Capital Budget Monitoring Report.</w:t>
      </w:r>
    </w:p>
    <w:p w14:paraId="6B90CB73" w14:textId="77777777" w:rsidR="00905780" w:rsidRPr="00905780" w:rsidRDefault="00905780" w:rsidP="00905780">
      <w:pPr>
        <w:ind w:left="567" w:hanging="567"/>
        <w:jc w:val="both"/>
        <w:rPr>
          <w:rFonts w:eastAsia="Bliss 2 Regular" w:cs="Arial"/>
          <w:color w:val="0D0D0D"/>
        </w:rPr>
      </w:pPr>
    </w:p>
    <w:p w14:paraId="2CD9E9BF" w14:textId="60BC2532"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 Authority’s current borrowing portfolio has not changed since 31 March and no new borrowing has been undertaken in 2023/24 to date</w:t>
      </w:r>
      <w:r w:rsidR="00381A3E">
        <w:rPr>
          <w:rFonts w:eastAsia="Bliss 2 Regular" w:cs="Arial"/>
          <w:color w:val="0D0D0D"/>
        </w:rPr>
        <w:t xml:space="preserve">. It is </w:t>
      </w:r>
      <w:r w:rsidRPr="00905780">
        <w:rPr>
          <w:rFonts w:eastAsia="Bliss 2 Regular" w:cs="Arial"/>
          <w:color w:val="0D0D0D"/>
        </w:rPr>
        <w:t xml:space="preserve">very unlikely </w:t>
      </w:r>
      <w:r w:rsidR="00381A3E">
        <w:rPr>
          <w:rFonts w:eastAsia="Bliss 2 Regular" w:cs="Arial"/>
          <w:color w:val="0D0D0D"/>
        </w:rPr>
        <w:t xml:space="preserve">the </w:t>
      </w:r>
      <w:r w:rsidRPr="00905780">
        <w:rPr>
          <w:rFonts w:eastAsia="Bliss 2 Regular" w:cs="Arial"/>
          <w:color w:val="0D0D0D"/>
        </w:rPr>
        <w:t>any further borrowing will need to be taken out by 31</w:t>
      </w:r>
      <w:r w:rsidRPr="00905780">
        <w:rPr>
          <w:rFonts w:eastAsia="Bliss 2 Regular" w:cs="Arial"/>
          <w:color w:val="0D0D0D"/>
          <w:vertAlign w:val="superscript"/>
        </w:rPr>
        <w:t>st</w:t>
      </w:r>
      <w:r w:rsidRPr="00905780">
        <w:rPr>
          <w:rFonts w:eastAsia="Bliss 2 Regular" w:cs="Arial"/>
          <w:color w:val="0D0D0D"/>
        </w:rPr>
        <w:t xml:space="preserve"> March 2024.</w:t>
      </w:r>
    </w:p>
    <w:p w14:paraId="3EE91EAD" w14:textId="77777777" w:rsidR="00905780" w:rsidRPr="00905780" w:rsidRDefault="00905780" w:rsidP="00905780">
      <w:pPr>
        <w:ind w:left="567" w:hanging="567"/>
        <w:jc w:val="both"/>
        <w:rPr>
          <w:rFonts w:eastAsia="Bliss 2 Regular" w:cs="Arial"/>
          <w:color w:val="0D0D0D"/>
          <w:highlight w:val="yellow"/>
        </w:rPr>
      </w:pPr>
    </w:p>
    <w:p w14:paraId="104AA7F8" w14:textId="49918D45" w:rsidR="00905780" w:rsidRPr="00905780" w:rsidRDefault="00881B81" w:rsidP="00905780">
      <w:pPr>
        <w:numPr>
          <w:ilvl w:val="0"/>
          <w:numId w:val="12"/>
        </w:numPr>
        <w:ind w:left="567" w:hanging="567"/>
        <w:jc w:val="both"/>
        <w:rPr>
          <w:rFonts w:eastAsia="Bliss 2 Regular" w:cs="Arial"/>
          <w:color w:val="0D0D0D"/>
        </w:rPr>
      </w:pPr>
      <w:bookmarkStart w:id="1" w:name="_Hlk88771598"/>
      <w:r w:rsidRPr="00881B81">
        <w:rPr>
          <w:rFonts w:eastAsia="Bliss 2 Regular" w:cs="Arial"/>
          <w:color w:val="0D0D0D"/>
        </w:rPr>
        <w:t>The forecast outturn on borrowing costs is £9.15m, a favourable variance of £1.13m on the budget of £10.28m, reflecting the continued internal borrowing strategy adopted by the Authority</w:t>
      </w:r>
      <w:r w:rsidR="00905780" w:rsidRPr="00905780">
        <w:rPr>
          <w:rFonts w:eastAsia="Bliss 2 Regular" w:cs="Arial"/>
          <w:color w:val="0D0D0D"/>
        </w:rPr>
        <w:t xml:space="preserve">.  </w:t>
      </w:r>
    </w:p>
    <w:bookmarkEnd w:id="0"/>
    <w:bookmarkEnd w:id="1"/>
    <w:p w14:paraId="1B1A95C2" w14:textId="77777777" w:rsidR="00905780" w:rsidRPr="00905780" w:rsidRDefault="00905780" w:rsidP="00905780">
      <w:pPr>
        <w:ind w:left="567" w:hanging="567"/>
        <w:jc w:val="both"/>
        <w:rPr>
          <w:rFonts w:cs="Arial"/>
          <w:color w:val="000000"/>
          <w:szCs w:val="24"/>
        </w:rPr>
      </w:pPr>
    </w:p>
    <w:p w14:paraId="65F003F3" w14:textId="19AF45B7" w:rsidR="00905780" w:rsidRPr="00905780" w:rsidRDefault="00905780" w:rsidP="00905780">
      <w:pPr>
        <w:ind w:left="567"/>
        <w:jc w:val="both"/>
        <w:rPr>
          <w:rFonts w:cs="Arial"/>
          <w:color w:val="000000"/>
          <w:szCs w:val="24"/>
        </w:rPr>
      </w:pPr>
      <w:r w:rsidRPr="00905780">
        <w:rPr>
          <w:noProof/>
        </w:rPr>
        <w:drawing>
          <wp:inline distT="0" distB="0" distL="0" distR="0" wp14:anchorId="19953720" wp14:editId="6159D513">
            <wp:extent cx="5850890" cy="14033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403350"/>
                    </a:xfrm>
                    <a:prstGeom prst="rect">
                      <a:avLst/>
                    </a:prstGeom>
                    <a:noFill/>
                    <a:ln>
                      <a:noFill/>
                    </a:ln>
                  </pic:spPr>
                </pic:pic>
              </a:graphicData>
            </a:graphic>
          </wp:inline>
        </w:drawing>
      </w:r>
    </w:p>
    <w:p w14:paraId="43D45E43" w14:textId="77777777" w:rsidR="00905780" w:rsidRPr="00905780" w:rsidRDefault="00905780" w:rsidP="00905780">
      <w:pPr>
        <w:ind w:left="567" w:hanging="567"/>
        <w:jc w:val="both"/>
        <w:rPr>
          <w:rFonts w:cs="Arial"/>
          <w:color w:val="000000"/>
          <w:szCs w:val="24"/>
        </w:rPr>
      </w:pPr>
    </w:p>
    <w:p w14:paraId="45311A23" w14:textId="77777777" w:rsidR="00905780" w:rsidRPr="00905780" w:rsidRDefault="00905780" w:rsidP="00905780">
      <w:pPr>
        <w:numPr>
          <w:ilvl w:val="0"/>
          <w:numId w:val="12"/>
        </w:numPr>
        <w:ind w:left="567" w:hanging="567"/>
        <w:jc w:val="both"/>
        <w:rPr>
          <w:rFonts w:eastAsia="Bliss 2 Regular" w:cs="Arial"/>
          <w:color w:val="0D0D0D"/>
        </w:rPr>
      </w:pPr>
      <w:r w:rsidRPr="00905780">
        <w:rPr>
          <w:rFonts w:eastAsia="Bliss 2 Regular" w:cs="Arial"/>
          <w:color w:val="0D0D0D"/>
        </w:rPr>
        <w:t>The Director of Finance will continue to keep borrowing decisions under review.</w:t>
      </w:r>
    </w:p>
    <w:p w14:paraId="07C49CD7" w14:textId="77777777" w:rsidR="00905780" w:rsidRPr="00905780" w:rsidRDefault="00905780" w:rsidP="00905780">
      <w:pPr>
        <w:ind w:left="567" w:hanging="567"/>
        <w:jc w:val="both"/>
        <w:rPr>
          <w:rFonts w:eastAsia="Bliss 2 Regular" w:cs="Arial"/>
          <w:color w:val="0D0D0D"/>
        </w:rPr>
      </w:pPr>
    </w:p>
    <w:p w14:paraId="1CC19BB4" w14:textId="08BB0D03" w:rsidR="00905780" w:rsidRPr="00905780" w:rsidRDefault="00905780" w:rsidP="00905780">
      <w:pPr>
        <w:numPr>
          <w:ilvl w:val="0"/>
          <w:numId w:val="12"/>
        </w:numPr>
        <w:ind w:left="567" w:hanging="567"/>
        <w:jc w:val="both"/>
        <w:rPr>
          <w:rFonts w:eastAsia="Bliss 2 Regular" w:cs="Arial"/>
          <w:color w:val="0D0D0D"/>
        </w:rPr>
      </w:pPr>
      <w:bookmarkStart w:id="2" w:name="_Hlk76468100"/>
      <w:r w:rsidRPr="00905780">
        <w:rPr>
          <w:rFonts w:eastAsia="Bliss 2 Regular" w:cs="Arial"/>
          <w:color w:val="0D0D0D"/>
        </w:rPr>
        <w:t xml:space="preserve">The maturity structure of the debt portfolio remained within the Prudential Indicator limits set as part of the 2023/24 Treasury Management Strategy.  The maturity structure table (9) below includes one Lenders Option Borrowers Option (LOBO) market loan </w:t>
      </w:r>
      <w:bookmarkStart w:id="3" w:name="_Hlk151450019"/>
      <w:r w:rsidR="00881B81" w:rsidRPr="00881B81">
        <w:rPr>
          <w:rFonts w:eastAsia="Bliss 2 Regular" w:cs="Arial"/>
          <w:color w:val="0D0D0D"/>
        </w:rPr>
        <w:t>for £20.8m at its next call date of 4th December 2023</w:t>
      </w:r>
      <w:r w:rsidRPr="00905780">
        <w:rPr>
          <w:rFonts w:eastAsia="Bliss 2 Regular" w:cs="Arial"/>
          <w:color w:val="0D0D0D"/>
        </w:rPr>
        <w:t>, which is the earliest date the lender can require repayment</w:t>
      </w:r>
      <w:bookmarkStart w:id="4" w:name="_Hlk76469101"/>
      <w:bookmarkEnd w:id="3"/>
      <w:r w:rsidRPr="00905780">
        <w:rPr>
          <w:rFonts w:eastAsia="Bliss 2 Regular" w:cs="Arial"/>
          <w:color w:val="0D0D0D"/>
        </w:rPr>
        <w:t>.</w:t>
      </w:r>
      <w:bookmarkEnd w:id="2"/>
      <w:bookmarkEnd w:id="4"/>
    </w:p>
    <w:p w14:paraId="4A7F19B0" w14:textId="77777777" w:rsidR="00905780" w:rsidRPr="00905780" w:rsidRDefault="00905780" w:rsidP="00905780">
      <w:pPr>
        <w:ind w:left="567" w:hanging="567"/>
        <w:jc w:val="both"/>
        <w:rPr>
          <w:rFonts w:eastAsia="Bliss 2 Regular" w:cs="Arial"/>
          <w:color w:val="0D0D0D"/>
        </w:rPr>
      </w:pPr>
    </w:p>
    <w:p w14:paraId="090951DA" w14:textId="77777777" w:rsidR="00905780" w:rsidRPr="00905780" w:rsidRDefault="00905780" w:rsidP="00905780">
      <w:pPr>
        <w:ind w:left="567" w:hanging="567"/>
        <w:jc w:val="both"/>
        <w:rPr>
          <w:rFonts w:eastAsia="Bliss 2 Regular" w:cs="Arial"/>
          <w:color w:val="0D0D0D"/>
        </w:rPr>
      </w:pPr>
    </w:p>
    <w:p w14:paraId="4595D4AA" w14:textId="538804A6" w:rsidR="00905780" w:rsidRPr="00905780" w:rsidRDefault="00905780" w:rsidP="00905780">
      <w:pPr>
        <w:ind w:left="567"/>
        <w:jc w:val="both"/>
        <w:rPr>
          <w:rFonts w:eastAsia="Bliss 2 Regular" w:cs="Arial"/>
          <w:color w:val="0D0D0D"/>
        </w:rPr>
      </w:pPr>
      <w:r w:rsidRPr="00905780">
        <w:rPr>
          <w:rFonts w:eastAsia="Bliss 2 Regular"/>
          <w:noProof/>
        </w:rPr>
        <w:drawing>
          <wp:inline distT="0" distB="0" distL="0" distR="0" wp14:anchorId="36BEFCA5" wp14:editId="11BE7B2C">
            <wp:extent cx="51816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1524000"/>
                    </a:xfrm>
                    <a:prstGeom prst="rect">
                      <a:avLst/>
                    </a:prstGeom>
                    <a:noFill/>
                    <a:ln>
                      <a:noFill/>
                    </a:ln>
                  </pic:spPr>
                </pic:pic>
              </a:graphicData>
            </a:graphic>
          </wp:inline>
        </w:drawing>
      </w:r>
    </w:p>
    <w:p w14:paraId="200C47A4" w14:textId="77777777" w:rsidR="00905780" w:rsidRPr="00905780" w:rsidRDefault="00905780" w:rsidP="00905780">
      <w:pPr>
        <w:numPr>
          <w:ilvl w:val="0"/>
          <w:numId w:val="13"/>
        </w:numPr>
        <w:spacing w:before="480" w:after="240"/>
        <w:ind w:left="567" w:hanging="567"/>
        <w:jc w:val="both"/>
        <w:outlineLvl w:val="2"/>
        <w:rPr>
          <w:rFonts w:cs="Arial"/>
          <w:b/>
          <w:bCs/>
          <w:sz w:val="28"/>
          <w:szCs w:val="28"/>
        </w:rPr>
      </w:pPr>
      <w:r w:rsidRPr="00905780">
        <w:rPr>
          <w:rFonts w:cs="Arial"/>
          <w:b/>
          <w:bCs/>
          <w:sz w:val="28"/>
          <w:szCs w:val="28"/>
        </w:rPr>
        <w:t>Risk Management Implications</w:t>
      </w:r>
    </w:p>
    <w:p w14:paraId="122515CE" w14:textId="59F16CEB" w:rsidR="00905780" w:rsidRPr="00905780" w:rsidRDefault="00905780" w:rsidP="00905780">
      <w:pPr>
        <w:ind w:left="567"/>
        <w:rPr>
          <w:bCs/>
        </w:rPr>
      </w:pPr>
      <w:r w:rsidRPr="00905780">
        <w:rPr>
          <w:bCs/>
        </w:rPr>
        <w:t>This report is for noting and there are no direct risk management implications to this report.</w:t>
      </w:r>
    </w:p>
    <w:p w14:paraId="33C22E4B" w14:textId="77777777" w:rsidR="00905780" w:rsidRPr="00905780" w:rsidRDefault="00905780" w:rsidP="00905780">
      <w:pPr>
        <w:numPr>
          <w:ilvl w:val="0"/>
          <w:numId w:val="14"/>
        </w:numPr>
        <w:spacing w:before="480" w:after="240"/>
        <w:ind w:left="567" w:hanging="567"/>
        <w:jc w:val="both"/>
        <w:outlineLvl w:val="2"/>
        <w:rPr>
          <w:rFonts w:cs="Arial"/>
          <w:b/>
          <w:bCs/>
          <w:sz w:val="28"/>
          <w:szCs w:val="28"/>
        </w:rPr>
      </w:pPr>
      <w:r w:rsidRPr="00905780">
        <w:rPr>
          <w:rFonts w:cs="Arial"/>
          <w:b/>
          <w:bCs/>
          <w:sz w:val="28"/>
          <w:szCs w:val="28"/>
        </w:rPr>
        <w:t>Procurement Implications</w:t>
      </w:r>
    </w:p>
    <w:p w14:paraId="3B76BE66" w14:textId="77777777" w:rsidR="00905780" w:rsidRPr="00905780" w:rsidRDefault="00905780" w:rsidP="00905780">
      <w:pPr>
        <w:spacing w:before="240"/>
        <w:ind w:left="567"/>
        <w:rPr>
          <w:rFonts w:cs="Arial"/>
          <w:szCs w:val="24"/>
        </w:rPr>
      </w:pPr>
      <w:r w:rsidRPr="00905780">
        <w:rPr>
          <w:rFonts w:cs="Arial"/>
          <w:szCs w:val="24"/>
        </w:rPr>
        <w:t xml:space="preserve">There are no procurement implications arising from this report. </w:t>
      </w:r>
    </w:p>
    <w:p w14:paraId="55733003" w14:textId="77777777" w:rsidR="00905780" w:rsidRPr="00905780" w:rsidRDefault="00905780" w:rsidP="00905780">
      <w:pPr>
        <w:numPr>
          <w:ilvl w:val="0"/>
          <w:numId w:val="15"/>
        </w:numPr>
        <w:spacing w:before="480" w:after="240"/>
        <w:ind w:left="567" w:hanging="567"/>
        <w:jc w:val="both"/>
        <w:outlineLvl w:val="2"/>
        <w:rPr>
          <w:rFonts w:cs="Arial"/>
          <w:b/>
          <w:bCs/>
          <w:sz w:val="28"/>
          <w:szCs w:val="28"/>
        </w:rPr>
      </w:pPr>
      <w:r w:rsidRPr="00905780">
        <w:rPr>
          <w:rFonts w:cs="Arial"/>
          <w:b/>
          <w:bCs/>
          <w:sz w:val="28"/>
          <w:szCs w:val="28"/>
        </w:rPr>
        <w:t>Legal Implications</w:t>
      </w:r>
    </w:p>
    <w:p w14:paraId="3F05BE94" w14:textId="77777777" w:rsidR="00905780" w:rsidRPr="00905780" w:rsidRDefault="00905780" w:rsidP="00905780">
      <w:pPr>
        <w:ind w:left="567"/>
        <w:jc w:val="both"/>
        <w:rPr>
          <w:rFonts w:cs="Arial"/>
          <w:szCs w:val="24"/>
          <w:lang w:eastAsia="en-GB"/>
        </w:rPr>
      </w:pPr>
      <w:r w:rsidRPr="00905780">
        <w:rPr>
          <w:rFonts w:cs="Arial"/>
          <w:szCs w:val="24"/>
        </w:rPr>
        <w:t>The</w:t>
      </w:r>
      <w:r w:rsidRPr="00905780">
        <w:rPr>
          <w:rFonts w:ascii="ArialMT" w:hAnsi="ArialMT" w:cs="ArialMT"/>
          <w:szCs w:val="24"/>
          <w:lang w:eastAsia="en-GB"/>
        </w:rPr>
        <w:t xml:space="preserve"> Local Government Act 2003 requires the Council to ‘have regard to’ the </w:t>
      </w:r>
      <w:r w:rsidRPr="00905780">
        <w:rPr>
          <w:rFonts w:cs="Arial"/>
          <w:szCs w:val="24"/>
          <w:lang w:eastAsia="en-GB"/>
        </w:rPr>
        <w:t xml:space="preserve">Prudential Code and to set Prudential Indicators for the next three years to </w:t>
      </w:r>
      <w:r w:rsidRPr="00905780">
        <w:rPr>
          <w:rFonts w:ascii="ArialMT" w:hAnsi="ArialMT" w:cs="ArialMT"/>
          <w:szCs w:val="24"/>
          <w:lang w:eastAsia="en-GB"/>
        </w:rPr>
        <w:t xml:space="preserve">ensure that the Council’s capital investment plans are affordable, </w:t>
      </w:r>
      <w:proofErr w:type="gramStart"/>
      <w:r w:rsidRPr="00905780">
        <w:rPr>
          <w:rFonts w:ascii="ArialMT" w:hAnsi="ArialMT" w:cs="ArialMT"/>
          <w:szCs w:val="24"/>
          <w:lang w:eastAsia="en-GB"/>
        </w:rPr>
        <w:t>prudent</w:t>
      </w:r>
      <w:proofErr w:type="gramEnd"/>
      <w:r w:rsidRPr="00905780">
        <w:rPr>
          <w:rFonts w:ascii="ArialMT" w:hAnsi="ArialMT" w:cs="ArialMT"/>
          <w:szCs w:val="24"/>
          <w:lang w:eastAsia="en-GB"/>
        </w:rPr>
        <w:t xml:space="preserve"> and </w:t>
      </w:r>
      <w:r w:rsidRPr="00905780">
        <w:rPr>
          <w:rFonts w:cs="Arial"/>
          <w:szCs w:val="24"/>
          <w:lang w:eastAsia="en-GB"/>
        </w:rPr>
        <w:t xml:space="preserve">sustainable. These are contained within this report.  </w:t>
      </w:r>
    </w:p>
    <w:p w14:paraId="5A6D0549" w14:textId="77777777" w:rsidR="00905780" w:rsidRPr="00905780" w:rsidRDefault="00905780" w:rsidP="00905780">
      <w:pPr>
        <w:ind w:left="567" w:hanging="567"/>
        <w:jc w:val="both"/>
        <w:rPr>
          <w:rFonts w:cs="Arial"/>
          <w:szCs w:val="24"/>
          <w:lang w:eastAsia="en-GB"/>
        </w:rPr>
      </w:pPr>
    </w:p>
    <w:p w14:paraId="2370B356" w14:textId="77777777" w:rsidR="00905780" w:rsidRPr="00905780" w:rsidRDefault="00905780" w:rsidP="00905780">
      <w:pPr>
        <w:ind w:left="567"/>
        <w:jc w:val="both"/>
        <w:rPr>
          <w:rFonts w:cs="Arial"/>
          <w:szCs w:val="24"/>
          <w:lang w:eastAsia="en-GB"/>
        </w:rPr>
      </w:pPr>
      <w:r w:rsidRPr="00905780">
        <w:rPr>
          <w:rFonts w:cs="Arial"/>
          <w:szCs w:val="24"/>
          <w:lang w:eastAsia="en-GB"/>
        </w:rPr>
        <w:t xml:space="preserve">The Act, accompanying statutory guidance and Codes of Practice referred to through capital financing regulations requires the Council to set out its treasury </w:t>
      </w:r>
      <w:r w:rsidRPr="00905780">
        <w:rPr>
          <w:rFonts w:cs="Arial"/>
          <w:szCs w:val="24"/>
          <w:lang w:eastAsia="en-GB"/>
        </w:rPr>
        <w:lastRenderedPageBreak/>
        <w:t xml:space="preserve">strategy for borrowing </w:t>
      </w:r>
      <w:r w:rsidRPr="00905780">
        <w:rPr>
          <w:rFonts w:ascii="ArialMT" w:hAnsi="ArialMT" w:cs="ArialMT"/>
          <w:szCs w:val="24"/>
          <w:lang w:eastAsia="en-GB"/>
        </w:rPr>
        <w:t xml:space="preserve">and to prepare an Annual Investment Strategy. This sets out the Council’s </w:t>
      </w:r>
      <w:r w:rsidRPr="00905780">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359CC0B6" w14:textId="77777777" w:rsidR="00905780" w:rsidRPr="00905780" w:rsidRDefault="00905780" w:rsidP="00905780">
      <w:pPr>
        <w:numPr>
          <w:ilvl w:val="0"/>
          <w:numId w:val="16"/>
        </w:numPr>
        <w:spacing w:before="480" w:after="240"/>
        <w:ind w:left="567" w:hanging="567"/>
        <w:jc w:val="both"/>
        <w:outlineLvl w:val="2"/>
        <w:rPr>
          <w:rFonts w:cs="Arial"/>
          <w:b/>
          <w:bCs/>
          <w:sz w:val="28"/>
          <w:szCs w:val="28"/>
        </w:rPr>
      </w:pPr>
      <w:r w:rsidRPr="00905780">
        <w:rPr>
          <w:rFonts w:cs="Arial"/>
          <w:b/>
          <w:bCs/>
          <w:sz w:val="28"/>
          <w:szCs w:val="28"/>
        </w:rPr>
        <w:t>Financial Implications</w:t>
      </w:r>
    </w:p>
    <w:p w14:paraId="5999D11F" w14:textId="77777777" w:rsidR="00905780" w:rsidRPr="00905780" w:rsidRDefault="00905780" w:rsidP="00905780">
      <w:pPr>
        <w:ind w:left="567"/>
        <w:jc w:val="both"/>
      </w:pPr>
      <w:r w:rsidRPr="00905780">
        <w:t xml:space="preserve">In addition to supporting the Council’s revenue and capital programmes the Treasury Management interest budget is an important part of the revenue budget. Any savings achieved, or overspends incurred, have a direct impact on the financial performance of the budget. </w:t>
      </w:r>
    </w:p>
    <w:p w14:paraId="7CF86547" w14:textId="77777777" w:rsidR="00905780" w:rsidRPr="00905780" w:rsidRDefault="00905780" w:rsidP="00905780">
      <w:pPr>
        <w:numPr>
          <w:ilvl w:val="0"/>
          <w:numId w:val="17"/>
        </w:numPr>
        <w:spacing w:before="480" w:after="240"/>
        <w:ind w:left="567" w:hanging="567"/>
        <w:jc w:val="both"/>
        <w:outlineLvl w:val="2"/>
        <w:rPr>
          <w:rFonts w:cs="Arial"/>
          <w:b/>
          <w:bCs/>
          <w:sz w:val="28"/>
          <w:szCs w:val="28"/>
        </w:rPr>
      </w:pPr>
      <w:r w:rsidRPr="00905780">
        <w:rPr>
          <w:rFonts w:cs="Arial"/>
          <w:b/>
          <w:bCs/>
          <w:sz w:val="28"/>
          <w:szCs w:val="28"/>
        </w:rPr>
        <w:t>Equalities implications / Public Sector Equality Duty</w:t>
      </w:r>
    </w:p>
    <w:p w14:paraId="60525EE2" w14:textId="77777777" w:rsidR="00905780" w:rsidRPr="00905780" w:rsidRDefault="00905780" w:rsidP="00905780">
      <w:pPr>
        <w:ind w:left="567"/>
        <w:rPr>
          <w:rFonts w:cs="Arial"/>
          <w:szCs w:val="24"/>
        </w:rPr>
      </w:pPr>
      <w:r w:rsidRPr="00905780">
        <w:t>T</w:t>
      </w:r>
      <w:r w:rsidRPr="00905780">
        <w:rPr>
          <w:rFonts w:cs="Arial"/>
          <w:szCs w:val="24"/>
        </w:rPr>
        <w:t>here is no direct equalities impact.</w:t>
      </w:r>
    </w:p>
    <w:p w14:paraId="530EFB50" w14:textId="77777777" w:rsidR="00905780" w:rsidRPr="00905780" w:rsidRDefault="00905780" w:rsidP="00905780">
      <w:pPr>
        <w:numPr>
          <w:ilvl w:val="0"/>
          <w:numId w:val="18"/>
        </w:numPr>
        <w:spacing w:before="480" w:after="240"/>
        <w:ind w:left="567" w:hanging="567"/>
        <w:jc w:val="both"/>
        <w:outlineLvl w:val="2"/>
        <w:rPr>
          <w:rFonts w:eastAsia="Arial" w:cs="Arial"/>
          <w:b/>
          <w:bCs/>
          <w:sz w:val="28"/>
          <w:szCs w:val="28"/>
        </w:rPr>
      </w:pPr>
      <w:r w:rsidRPr="00905780">
        <w:rPr>
          <w:rFonts w:cs="Arial"/>
          <w:b/>
          <w:bCs/>
          <w:sz w:val="32"/>
          <w:szCs w:val="32"/>
        </w:rPr>
        <w:t>Council Priorities</w:t>
      </w:r>
    </w:p>
    <w:p w14:paraId="00CC0588" w14:textId="77777777" w:rsidR="00905780" w:rsidRPr="00905780" w:rsidRDefault="00905780" w:rsidP="00905780">
      <w:pPr>
        <w:autoSpaceDE w:val="0"/>
        <w:autoSpaceDN w:val="0"/>
        <w:spacing w:before="240"/>
        <w:ind w:left="567"/>
        <w:rPr>
          <w:b/>
        </w:rPr>
      </w:pPr>
      <w:bookmarkStart w:id="5" w:name="_Hlk88574910"/>
      <w:r w:rsidRPr="00905780">
        <w:rPr>
          <w:rFonts w:cs="Arial"/>
          <w:szCs w:val="24"/>
        </w:rPr>
        <w:t xml:space="preserve">This report deals with the </w:t>
      </w:r>
      <w:r w:rsidRPr="00905780">
        <w:rPr>
          <w:rFonts w:cs="Arial"/>
        </w:rPr>
        <w:t xml:space="preserve">Treasury Management Strategy </w:t>
      </w:r>
      <w:r w:rsidRPr="00905780">
        <w:rPr>
          <w:rFonts w:cs="Arial"/>
          <w:szCs w:val="24"/>
        </w:rPr>
        <w:t>which plays a significant part in supporting the delivery of all the Council’s corporate priorities.</w:t>
      </w:r>
      <w:bookmarkEnd w:id="5"/>
    </w:p>
    <w:p w14:paraId="2DFCE13D" w14:textId="77777777" w:rsidR="00905780" w:rsidRPr="00905780" w:rsidRDefault="00905780" w:rsidP="00905780">
      <w:pPr>
        <w:spacing w:before="480" w:after="240"/>
        <w:ind w:left="567"/>
        <w:outlineLvl w:val="1"/>
        <w:rPr>
          <w:rFonts w:ascii="Arial Black" w:hAnsi="Arial Black" w:cs="Arial"/>
          <w:b/>
          <w:bCs/>
          <w:sz w:val="32"/>
          <w:szCs w:val="32"/>
        </w:rPr>
      </w:pPr>
      <w:r w:rsidRPr="00905780">
        <w:rPr>
          <w:rFonts w:ascii="Arial Black" w:hAnsi="Arial Black" w:cs="Arial"/>
          <w:b/>
          <w:bCs/>
          <w:sz w:val="32"/>
          <w:szCs w:val="32"/>
        </w:rPr>
        <w:t>Section 3 - Statutory Officer Clearance</w:t>
      </w:r>
    </w:p>
    <w:p w14:paraId="5959A8CB" w14:textId="77777777" w:rsidR="00905780" w:rsidRPr="00905780" w:rsidRDefault="00905780" w:rsidP="00905780">
      <w:pPr>
        <w:ind w:left="567"/>
        <w:rPr>
          <w:sz w:val="28"/>
        </w:rPr>
      </w:pPr>
      <w:r w:rsidRPr="00905780">
        <w:rPr>
          <w:b/>
          <w:sz w:val="28"/>
        </w:rPr>
        <w:t>Statutory Officer:  Sharon Daniels</w:t>
      </w:r>
    </w:p>
    <w:p w14:paraId="5FAD4B99" w14:textId="77777777" w:rsidR="00905780" w:rsidRPr="00905780" w:rsidRDefault="00905780" w:rsidP="00905780">
      <w:pPr>
        <w:ind w:left="567"/>
      </w:pPr>
      <w:r w:rsidRPr="00905780">
        <w:t>Signed off by the Chief Financial Officer</w:t>
      </w:r>
    </w:p>
    <w:p w14:paraId="163A18A2" w14:textId="77777777" w:rsidR="00905780" w:rsidRPr="00905780" w:rsidRDefault="00905780" w:rsidP="00905780">
      <w:pPr>
        <w:spacing w:after="480"/>
        <w:ind w:left="567"/>
        <w:rPr>
          <w:sz w:val="28"/>
        </w:rPr>
      </w:pPr>
      <w:r w:rsidRPr="00905780">
        <w:rPr>
          <w:b/>
          <w:sz w:val="28"/>
        </w:rPr>
        <w:t>Date:  19/11/2023</w:t>
      </w:r>
    </w:p>
    <w:p w14:paraId="4DCFAF7B" w14:textId="15703646" w:rsidR="00905780" w:rsidRPr="00905780" w:rsidRDefault="00905780" w:rsidP="00905780">
      <w:pPr>
        <w:ind w:left="567"/>
        <w:rPr>
          <w:sz w:val="28"/>
        </w:rPr>
      </w:pPr>
      <w:r w:rsidRPr="00905780">
        <w:rPr>
          <w:b/>
          <w:sz w:val="28"/>
        </w:rPr>
        <w:t xml:space="preserve">Statutory Officer:  </w:t>
      </w:r>
      <w:r w:rsidR="00881B81">
        <w:rPr>
          <w:b/>
          <w:sz w:val="28"/>
        </w:rPr>
        <w:t>Caroline Eccles</w:t>
      </w:r>
    </w:p>
    <w:p w14:paraId="338BD71A" w14:textId="77777777" w:rsidR="00905780" w:rsidRPr="00905780" w:rsidRDefault="00905780" w:rsidP="00905780">
      <w:pPr>
        <w:ind w:left="567"/>
      </w:pPr>
      <w:r w:rsidRPr="00905780">
        <w:t>Signed on behalf of the Monitoring Officer</w:t>
      </w:r>
    </w:p>
    <w:p w14:paraId="16C7DCFC" w14:textId="601D7F59" w:rsidR="00905780" w:rsidRPr="00905780" w:rsidRDefault="00905780" w:rsidP="00905780">
      <w:pPr>
        <w:spacing w:after="480"/>
        <w:ind w:left="567"/>
        <w:rPr>
          <w:sz w:val="28"/>
        </w:rPr>
      </w:pPr>
      <w:r w:rsidRPr="00905780">
        <w:rPr>
          <w:b/>
          <w:sz w:val="28"/>
        </w:rPr>
        <w:t xml:space="preserve">Date:  </w:t>
      </w:r>
      <w:r w:rsidR="00881B81">
        <w:rPr>
          <w:b/>
          <w:sz w:val="28"/>
        </w:rPr>
        <w:t>21/11/2023</w:t>
      </w:r>
    </w:p>
    <w:p w14:paraId="0C756F8A" w14:textId="77777777" w:rsidR="00905780" w:rsidRPr="00905780" w:rsidRDefault="00905780" w:rsidP="00905780">
      <w:pPr>
        <w:ind w:left="567"/>
        <w:rPr>
          <w:sz w:val="28"/>
        </w:rPr>
      </w:pPr>
      <w:r w:rsidRPr="00905780">
        <w:rPr>
          <w:b/>
          <w:sz w:val="28"/>
        </w:rPr>
        <w:t>Chief Officer:  Alex Dewsnap</w:t>
      </w:r>
    </w:p>
    <w:p w14:paraId="1044B942" w14:textId="77777777" w:rsidR="00905780" w:rsidRPr="00905780" w:rsidRDefault="00905780" w:rsidP="00905780">
      <w:pPr>
        <w:ind w:left="567"/>
      </w:pPr>
      <w:r w:rsidRPr="00905780">
        <w:t>Signed off by the Managing Director</w:t>
      </w:r>
    </w:p>
    <w:p w14:paraId="3783CE54" w14:textId="7F6944BC" w:rsidR="00905780" w:rsidRPr="00905780" w:rsidRDefault="00905780" w:rsidP="00905780">
      <w:pPr>
        <w:spacing w:after="480"/>
        <w:ind w:left="567"/>
        <w:rPr>
          <w:sz w:val="28"/>
        </w:rPr>
      </w:pPr>
      <w:r w:rsidRPr="00905780">
        <w:rPr>
          <w:b/>
          <w:sz w:val="28"/>
        </w:rPr>
        <w:t xml:space="preserve">Date:  </w:t>
      </w:r>
      <w:r w:rsidR="00900D65">
        <w:rPr>
          <w:b/>
          <w:sz w:val="28"/>
        </w:rPr>
        <w:t>21/11/2023</w:t>
      </w:r>
    </w:p>
    <w:p w14:paraId="365FA200" w14:textId="005EC142" w:rsidR="00905780" w:rsidRPr="00905780" w:rsidRDefault="00905780" w:rsidP="00905780">
      <w:pPr>
        <w:spacing w:before="480" w:after="240"/>
        <w:ind w:left="567"/>
        <w:outlineLvl w:val="1"/>
        <w:rPr>
          <w:rFonts w:ascii="Arial Black" w:hAnsi="Arial Black" w:cs="Arial"/>
          <w:b/>
          <w:bCs/>
          <w:sz w:val="32"/>
          <w:szCs w:val="32"/>
        </w:rPr>
      </w:pPr>
      <w:r w:rsidRPr="00905780">
        <w:rPr>
          <w:rFonts w:ascii="Arial Black" w:hAnsi="Arial Black" w:cs="Arial"/>
          <w:b/>
          <w:bCs/>
          <w:sz w:val="32"/>
          <w:szCs w:val="32"/>
        </w:rPr>
        <w:t>Mandatory Checks</w:t>
      </w:r>
    </w:p>
    <w:p w14:paraId="0DD6AA54" w14:textId="77777777" w:rsidR="00905780" w:rsidRPr="00905780" w:rsidRDefault="00905780" w:rsidP="00905780">
      <w:pPr>
        <w:ind w:left="567"/>
        <w:outlineLvl w:val="2"/>
        <w:rPr>
          <w:rFonts w:cs="Arial"/>
          <w:b/>
          <w:bCs/>
          <w:sz w:val="28"/>
          <w:szCs w:val="28"/>
        </w:rPr>
      </w:pPr>
      <w:r w:rsidRPr="00905780">
        <w:rPr>
          <w:rFonts w:cs="Arial"/>
          <w:b/>
          <w:bCs/>
          <w:sz w:val="28"/>
          <w:szCs w:val="28"/>
        </w:rPr>
        <w:t xml:space="preserve">Ward Councillors notified:   </w:t>
      </w:r>
      <w:r w:rsidRPr="00905780">
        <w:rPr>
          <w:rFonts w:cs="Arial"/>
          <w:sz w:val="28"/>
          <w:szCs w:val="28"/>
        </w:rPr>
        <w:t xml:space="preserve">NO, as it impacts on all </w:t>
      </w:r>
      <w:proofErr w:type="gramStart"/>
      <w:r w:rsidRPr="00905780">
        <w:rPr>
          <w:rFonts w:cs="Arial"/>
          <w:sz w:val="28"/>
          <w:szCs w:val="28"/>
        </w:rPr>
        <w:t>Wards</w:t>
      </w:r>
      <w:proofErr w:type="gramEnd"/>
      <w:r w:rsidRPr="00905780">
        <w:rPr>
          <w:rFonts w:cs="Arial"/>
          <w:b/>
          <w:bCs/>
          <w:sz w:val="28"/>
          <w:szCs w:val="28"/>
        </w:rPr>
        <w:t xml:space="preserve"> </w:t>
      </w:r>
    </w:p>
    <w:p w14:paraId="7F510133" w14:textId="77777777" w:rsidR="00905780" w:rsidRPr="00905780" w:rsidRDefault="00905780" w:rsidP="00905780">
      <w:pPr>
        <w:spacing w:before="240"/>
        <w:ind w:left="567"/>
        <w:jc w:val="both"/>
        <w:outlineLvl w:val="2"/>
        <w:rPr>
          <w:rFonts w:cs="Arial"/>
          <w:bCs/>
          <w:sz w:val="28"/>
          <w:szCs w:val="28"/>
        </w:rPr>
      </w:pPr>
      <w:proofErr w:type="spellStart"/>
      <w:r w:rsidRPr="00905780">
        <w:rPr>
          <w:rFonts w:cs="Arial"/>
          <w:b/>
          <w:bCs/>
          <w:sz w:val="28"/>
          <w:szCs w:val="28"/>
        </w:rPr>
        <w:t>EqIA</w:t>
      </w:r>
      <w:proofErr w:type="spellEnd"/>
      <w:r w:rsidRPr="00905780">
        <w:rPr>
          <w:rFonts w:cs="Arial"/>
          <w:b/>
          <w:bCs/>
          <w:sz w:val="28"/>
          <w:szCs w:val="28"/>
        </w:rPr>
        <w:t xml:space="preserve"> carried out:  </w:t>
      </w:r>
      <w:r w:rsidRPr="00905780">
        <w:rPr>
          <w:rFonts w:cs="Arial"/>
          <w:sz w:val="28"/>
          <w:szCs w:val="28"/>
        </w:rPr>
        <w:t>NO – report is for information and not decision making.</w:t>
      </w:r>
    </w:p>
    <w:p w14:paraId="61A7F391" w14:textId="77777777" w:rsidR="00905780" w:rsidRPr="00905780" w:rsidRDefault="00905780" w:rsidP="00905780">
      <w:pPr>
        <w:spacing w:before="240"/>
        <w:ind w:left="567"/>
        <w:outlineLvl w:val="2"/>
        <w:rPr>
          <w:rFonts w:cs="Arial"/>
          <w:color w:val="FF0000"/>
          <w:sz w:val="28"/>
          <w:szCs w:val="28"/>
        </w:rPr>
      </w:pPr>
      <w:proofErr w:type="spellStart"/>
      <w:r w:rsidRPr="00905780">
        <w:rPr>
          <w:rFonts w:cs="Arial"/>
          <w:b/>
          <w:bCs/>
          <w:sz w:val="28"/>
          <w:szCs w:val="28"/>
        </w:rPr>
        <w:t>EqIA</w:t>
      </w:r>
      <w:proofErr w:type="spellEnd"/>
      <w:r w:rsidRPr="00905780">
        <w:rPr>
          <w:rFonts w:cs="Arial"/>
          <w:b/>
          <w:bCs/>
          <w:sz w:val="28"/>
          <w:szCs w:val="28"/>
        </w:rPr>
        <w:t xml:space="preserve"> cleared by:  </w:t>
      </w:r>
      <w:r w:rsidRPr="00905780">
        <w:rPr>
          <w:rFonts w:cs="Arial"/>
          <w:sz w:val="28"/>
          <w:szCs w:val="28"/>
        </w:rPr>
        <w:t>N/A</w:t>
      </w:r>
    </w:p>
    <w:p w14:paraId="0337ED34" w14:textId="77777777" w:rsidR="00905780" w:rsidRPr="00905780" w:rsidRDefault="00905780" w:rsidP="00905780">
      <w:pPr>
        <w:spacing w:before="480" w:after="240"/>
        <w:ind w:left="567"/>
        <w:outlineLvl w:val="1"/>
        <w:rPr>
          <w:rFonts w:ascii="Arial Black" w:hAnsi="Arial Black" w:cs="Arial"/>
          <w:b/>
          <w:bCs/>
          <w:sz w:val="32"/>
          <w:szCs w:val="32"/>
        </w:rPr>
      </w:pPr>
      <w:r w:rsidRPr="00905780">
        <w:rPr>
          <w:rFonts w:ascii="Arial Black" w:hAnsi="Arial Black" w:cs="Arial"/>
          <w:b/>
          <w:bCs/>
          <w:sz w:val="32"/>
          <w:szCs w:val="32"/>
        </w:rPr>
        <w:lastRenderedPageBreak/>
        <w:t>Section 4 - Contact Details and Background Papers</w:t>
      </w:r>
    </w:p>
    <w:p w14:paraId="13938A1B" w14:textId="77777777" w:rsidR="00905780" w:rsidRPr="00905780" w:rsidRDefault="00905780" w:rsidP="00905780">
      <w:pPr>
        <w:spacing w:after="240"/>
        <w:ind w:left="567"/>
        <w:rPr>
          <w:color w:val="FF0000"/>
          <w:sz w:val="28"/>
        </w:rPr>
      </w:pPr>
      <w:r w:rsidRPr="00905780">
        <w:rPr>
          <w:b/>
          <w:sz w:val="28"/>
        </w:rPr>
        <w:t xml:space="preserve">Contact:  </w:t>
      </w:r>
      <w:r w:rsidRPr="00905780">
        <w:rPr>
          <w:bCs/>
          <w:sz w:val="28"/>
        </w:rPr>
        <w:t xml:space="preserve">Sharon Daniels – Interim Director of Finance &amp; Assurance, </w:t>
      </w:r>
      <w:hyperlink r:id="rId21" w:history="1">
        <w:r w:rsidRPr="00905780">
          <w:rPr>
            <w:bCs/>
            <w:color w:val="0000FF"/>
            <w:sz w:val="28"/>
            <w:u w:val="single"/>
          </w:rPr>
          <w:t>Sharon.Daniels@harrow.gov.uk</w:t>
        </w:r>
      </w:hyperlink>
      <w:r w:rsidRPr="00905780">
        <w:rPr>
          <w:bCs/>
          <w:sz w:val="28"/>
        </w:rPr>
        <w:t xml:space="preserve">, </w:t>
      </w:r>
    </w:p>
    <w:p w14:paraId="1E25F9B7" w14:textId="77777777" w:rsidR="00905780" w:rsidRPr="00905780" w:rsidRDefault="00905780" w:rsidP="00905780">
      <w:pPr>
        <w:spacing w:after="240"/>
        <w:ind w:left="567"/>
        <w:rPr>
          <w:b/>
          <w:sz w:val="28"/>
        </w:rPr>
      </w:pPr>
      <w:r w:rsidRPr="00905780">
        <w:rPr>
          <w:b/>
          <w:sz w:val="28"/>
        </w:rPr>
        <w:t xml:space="preserve">Background Papers:  </w:t>
      </w:r>
      <w:r w:rsidRPr="00905780">
        <w:rPr>
          <w:bCs/>
          <w:sz w:val="28"/>
        </w:rPr>
        <w:t>None</w:t>
      </w:r>
    </w:p>
    <w:p w14:paraId="6C79A4D7" w14:textId="77777777" w:rsidR="00905780" w:rsidRPr="00905780" w:rsidRDefault="00905780" w:rsidP="00905780">
      <w:pPr>
        <w:tabs>
          <w:tab w:val="left" w:pos="3768"/>
          <w:tab w:val="left" w:pos="4315"/>
        </w:tabs>
        <w:ind w:left="567"/>
        <w:rPr>
          <w:rFonts w:cs="Arial"/>
          <w:i/>
          <w:color w:val="FF0000"/>
          <w:szCs w:val="24"/>
          <w:lang w:eastAsia="en-GB"/>
        </w:rPr>
      </w:pPr>
    </w:p>
    <w:p w14:paraId="11B5C891" w14:textId="77777777" w:rsidR="00905780" w:rsidRPr="00905780" w:rsidRDefault="00905780" w:rsidP="00905780">
      <w:pPr>
        <w:ind w:left="567"/>
        <w:rPr>
          <w:rFonts w:cs="Arial"/>
          <w:i/>
          <w:szCs w:val="24"/>
          <w:lang w:eastAsia="en-GB"/>
        </w:rPr>
      </w:pPr>
    </w:p>
    <w:p w14:paraId="04811702" w14:textId="77777777" w:rsidR="00C84937" w:rsidRPr="0062396F" w:rsidRDefault="00C84937" w:rsidP="00905780">
      <w:pPr>
        <w:pStyle w:val="ListParagraph"/>
        <w:ind w:left="567"/>
        <w:jc w:val="both"/>
        <w:rPr>
          <w:b/>
          <w:color w:val="FF0000"/>
          <w:highlight w:val="yellow"/>
          <w:u w:val="single"/>
        </w:rPr>
      </w:pPr>
    </w:p>
    <w:sectPr w:rsidR="00C84937" w:rsidRPr="0062396F"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6B54" w14:textId="77777777" w:rsidR="00FA28AC" w:rsidRDefault="00FA28AC">
      <w:r>
        <w:separator/>
      </w:r>
    </w:p>
  </w:endnote>
  <w:endnote w:type="continuationSeparator" w:id="0">
    <w:p w14:paraId="7D7AC881" w14:textId="77777777" w:rsidR="00FA28AC" w:rsidRDefault="00FA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660D" w14:textId="77777777" w:rsidR="00FA28AC" w:rsidRDefault="00FA28AC">
      <w:r>
        <w:separator/>
      </w:r>
    </w:p>
  </w:footnote>
  <w:footnote w:type="continuationSeparator" w:id="0">
    <w:p w14:paraId="78E84E4C" w14:textId="77777777" w:rsidR="00FA28AC" w:rsidRDefault="00FA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0F19FF"/>
    <w:multiLevelType w:val="multilevel"/>
    <w:tmpl w:val="E0DCE162"/>
    <w:lvl w:ilvl="0">
      <w:start w:val="9"/>
      <w:numFmt w:val="decimal"/>
      <w:lvlText w:val="%1.0."/>
      <w:lvlJc w:val="left"/>
      <w:pPr>
        <w:ind w:left="371" w:hanging="720"/>
      </w:pPr>
      <w:rPr>
        <w:rFonts w:hint="default"/>
      </w:rPr>
    </w:lvl>
    <w:lvl w:ilvl="1">
      <w:start w:val="1"/>
      <w:numFmt w:val="decimal"/>
      <w:lvlText w:val="%1.%2."/>
      <w:lvlJc w:val="left"/>
      <w:pPr>
        <w:ind w:left="1091" w:hanging="720"/>
      </w:pPr>
      <w:rPr>
        <w:rFonts w:hint="default"/>
      </w:rPr>
    </w:lvl>
    <w:lvl w:ilvl="2">
      <w:start w:val="1"/>
      <w:numFmt w:val="decimal"/>
      <w:lvlText w:val="%1.%2.%3."/>
      <w:lvlJc w:val="left"/>
      <w:pPr>
        <w:ind w:left="1811" w:hanging="720"/>
      </w:pPr>
      <w:rPr>
        <w:rFonts w:hint="default"/>
      </w:rPr>
    </w:lvl>
    <w:lvl w:ilvl="3">
      <w:start w:val="1"/>
      <w:numFmt w:val="decimal"/>
      <w:lvlText w:val="%1.%2.%3.%4."/>
      <w:lvlJc w:val="left"/>
      <w:pPr>
        <w:ind w:left="2891" w:hanging="1080"/>
      </w:pPr>
      <w:rPr>
        <w:rFonts w:hint="default"/>
      </w:rPr>
    </w:lvl>
    <w:lvl w:ilvl="4">
      <w:start w:val="1"/>
      <w:numFmt w:val="decimal"/>
      <w:lvlText w:val="%1.%2.%3.%4.%5."/>
      <w:lvlJc w:val="left"/>
      <w:pPr>
        <w:ind w:left="3971" w:hanging="1440"/>
      </w:pPr>
      <w:rPr>
        <w:rFonts w:hint="default"/>
      </w:rPr>
    </w:lvl>
    <w:lvl w:ilvl="5">
      <w:start w:val="1"/>
      <w:numFmt w:val="decimal"/>
      <w:lvlText w:val="%1.%2.%3.%4.%5.%6."/>
      <w:lvlJc w:val="left"/>
      <w:pPr>
        <w:ind w:left="4691" w:hanging="1440"/>
      </w:pPr>
      <w:rPr>
        <w:rFonts w:hint="default"/>
      </w:rPr>
    </w:lvl>
    <w:lvl w:ilvl="6">
      <w:start w:val="1"/>
      <w:numFmt w:val="decimal"/>
      <w:lvlText w:val="%1.%2.%3.%4.%5.%6.%7."/>
      <w:lvlJc w:val="left"/>
      <w:pPr>
        <w:ind w:left="5771" w:hanging="1800"/>
      </w:pPr>
      <w:rPr>
        <w:rFonts w:hint="default"/>
      </w:rPr>
    </w:lvl>
    <w:lvl w:ilvl="7">
      <w:start w:val="1"/>
      <w:numFmt w:val="decimal"/>
      <w:lvlText w:val="%1.%2.%3.%4.%5.%6.%7.%8."/>
      <w:lvlJc w:val="left"/>
      <w:pPr>
        <w:ind w:left="6851" w:hanging="2160"/>
      </w:pPr>
      <w:rPr>
        <w:rFonts w:hint="default"/>
      </w:rPr>
    </w:lvl>
    <w:lvl w:ilvl="8">
      <w:start w:val="1"/>
      <w:numFmt w:val="decimal"/>
      <w:lvlText w:val="%1.%2.%3.%4.%5.%6.%7.%8.%9."/>
      <w:lvlJc w:val="left"/>
      <w:pPr>
        <w:ind w:left="7571" w:hanging="2160"/>
      </w:pPr>
      <w:rPr>
        <w:rFonts w:hint="default"/>
      </w:rPr>
    </w:lvl>
  </w:abstractNum>
  <w:abstractNum w:abstractNumId="2" w15:restartNumberingAfterBreak="0">
    <w:nsid w:val="12296772"/>
    <w:multiLevelType w:val="hybridMultilevel"/>
    <w:tmpl w:val="3B626F86"/>
    <w:lvl w:ilvl="0" w:tplc="634CD0A0">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73F5"/>
    <w:multiLevelType w:val="hybridMultilevel"/>
    <w:tmpl w:val="6508581A"/>
    <w:lvl w:ilvl="0" w:tplc="3634D2A0">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ECF2DD9"/>
    <w:multiLevelType w:val="multilevel"/>
    <w:tmpl w:val="44EA4DCC"/>
    <w:lvl w:ilvl="0">
      <w:start w:val="1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B14148"/>
    <w:multiLevelType w:val="hybridMultilevel"/>
    <w:tmpl w:val="694CFADA"/>
    <w:lvl w:ilvl="0" w:tplc="A7CA6ADE">
      <w:numFmt w:val="decimal"/>
      <w:lvlText w:val="4.%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9" w15:restartNumberingAfterBreak="0">
    <w:nsid w:val="31221940"/>
    <w:multiLevelType w:val="multilevel"/>
    <w:tmpl w:val="E312CB88"/>
    <w:lvl w:ilvl="0">
      <w:start w:val="1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84B66FD"/>
    <w:multiLevelType w:val="multilevel"/>
    <w:tmpl w:val="FA58A4C6"/>
    <w:lvl w:ilvl="0">
      <w:start w:val="13"/>
      <w:numFmt w:val="decimal"/>
      <w:lvlText w:val="%1.0."/>
      <w:lvlJc w:val="left"/>
      <w:pPr>
        <w:ind w:left="1092" w:hanging="732"/>
      </w:pPr>
      <w:rPr>
        <w:rFonts w:eastAsia="Times New Roman" w:hint="default"/>
        <w:sz w:val="28"/>
        <w:szCs w:val="24"/>
      </w:rPr>
    </w:lvl>
    <w:lvl w:ilvl="1">
      <w:start w:val="1"/>
      <w:numFmt w:val="decimal"/>
      <w:lvlText w:val="%1.%2."/>
      <w:lvlJc w:val="left"/>
      <w:pPr>
        <w:ind w:left="1812" w:hanging="732"/>
      </w:pPr>
      <w:rPr>
        <w:rFonts w:eastAsia="Times New Roman" w:hint="default"/>
        <w:sz w:val="32"/>
      </w:rPr>
    </w:lvl>
    <w:lvl w:ilvl="2">
      <w:start w:val="1"/>
      <w:numFmt w:val="decimal"/>
      <w:lvlText w:val="%1.%2.%3."/>
      <w:lvlJc w:val="left"/>
      <w:pPr>
        <w:ind w:left="2532" w:hanging="732"/>
      </w:pPr>
      <w:rPr>
        <w:rFonts w:eastAsia="Times New Roman" w:hint="default"/>
        <w:sz w:val="32"/>
      </w:rPr>
    </w:lvl>
    <w:lvl w:ilvl="3">
      <w:start w:val="1"/>
      <w:numFmt w:val="decimal"/>
      <w:lvlText w:val="%1.%2.%3.%4."/>
      <w:lvlJc w:val="left"/>
      <w:pPr>
        <w:ind w:left="3600" w:hanging="1080"/>
      </w:pPr>
      <w:rPr>
        <w:rFonts w:eastAsia="Times New Roman" w:hint="default"/>
        <w:sz w:val="32"/>
      </w:rPr>
    </w:lvl>
    <w:lvl w:ilvl="4">
      <w:start w:val="1"/>
      <w:numFmt w:val="decimal"/>
      <w:lvlText w:val="%1.%2.%3.%4.%5."/>
      <w:lvlJc w:val="left"/>
      <w:pPr>
        <w:ind w:left="4680" w:hanging="1440"/>
      </w:pPr>
      <w:rPr>
        <w:rFonts w:eastAsia="Times New Roman" w:hint="default"/>
        <w:sz w:val="32"/>
      </w:rPr>
    </w:lvl>
    <w:lvl w:ilvl="5">
      <w:start w:val="1"/>
      <w:numFmt w:val="decimal"/>
      <w:lvlText w:val="%1.%2.%3.%4.%5.%6."/>
      <w:lvlJc w:val="left"/>
      <w:pPr>
        <w:ind w:left="5400" w:hanging="1440"/>
      </w:pPr>
      <w:rPr>
        <w:rFonts w:eastAsia="Times New Roman" w:hint="default"/>
        <w:sz w:val="32"/>
      </w:rPr>
    </w:lvl>
    <w:lvl w:ilvl="6">
      <w:start w:val="1"/>
      <w:numFmt w:val="decimal"/>
      <w:lvlText w:val="%1.%2.%3.%4.%5.%6.%7."/>
      <w:lvlJc w:val="left"/>
      <w:pPr>
        <w:ind w:left="6480" w:hanging="1800"/>
      </w:pPr>
      <w:rPr>
        <w:rFonts w:eastAsia="Times New Roman" w:hint="default"/>
        <w:sz w:val="32"/>
      </w:rPr>
    </w:lvl>
    <w:lvl w:ilvl="7">
      <w:start w:val="1"/>
      <w:numFmt w:val="decimal"/>
      <w:lvlText w:val="%1.%2.%3.%4.%5.%6.%7.%8."/>
      <w:lvlJc w:val="left"/>
      <w:pPr>
        <w:ind w:left="7560" w:hanging="2160"/>
      </w:pPr>
      <w:rPr>
        <w:rFonts w:eastAsia="Times New Roman" w:hint="default"/>
        <w:sz w:val="32"/>
      </w:rPr>
    </w:lvl>
    <w:lvl w:ilvl="8">
      <w:start w:val="1"/>
      <w:numFmt w:val="decimal"/>
      <w:lvlText w:val="%1.%2.%3.%4.%5.%6.%7.%8.%9."/>
      <w:lvlJc w:val="left"/>
      <w:pPr>
        <w:ind w:left="8280" w:hanging="2160"/>
      </w:pPr>
      <w:rPr>
        <w:rFonts w:eastAsia="Times New Roman" w:hint="default"/>
        <w:sz w:val="32"/>
      </w:rPr>
    </w:lvl>
  </w:abstractNum>
  <w:abstractNum w:abstractNumId="11" w15:restartNumberingAfterBreak="0">
    <w:nsid w:val="395A75AC"/>
    <w:multiLevelType w:val="multilevel"/>
    <w:tmpl w:val="4DB6B186"/>
    <w:lvl w:ilvl="0">
      <w:start w:val="10"/>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2" w15:restartNumberingAfterBreak="0">
    <w:nsid w:val="4C9D6310"/>
    <w:multiLevelType w:val="hybridMultilevel"/>
    <w:tmpl w:val="FB8E01A4"/>
    <w:lvl w:ilvl="0" w:tplc="A678F0E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63267"/>
    <w:multiLevelType w:val="multilevel"/>
    <w:tmpl w:val="A84E4148"/>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4" w15:restartNumberingAfterBreak="0">
    <w:nsid w:val="503E13FE"/>
    <w:multiLevelType w:val="hybridMultilevel"/>
    <w:tmpl w:val="F85449E6"/>
    <w:lvl w:ilvl="0" w:tplc="4A8A158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0096B3E"/>
    <w:multiLevelType w:val="hybridMultilevel"/>
    <w:tmpl w:val="E9E0F1DC"/>
    <w:lvl w:ilvl="0" w:tplc="1AF46B8E">
      <w:numFmt w:val="decimal"/>
      <w:lvlText w:val="5.%1."/>
      <w:lvlJc w:val="left"/>
      <w:pPr>
        <w:ind w:left="36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914B8"/>
    <w:multiLevelType w:val="multilevel"/>
    <w:tmpl w:val="4ABEE194"/>
    <w:lvl w:ilvl="0">
      <w:start w:val="1"/>
      <w:numFmt w:val="bullet"/>
      <w:lvlText w:val=""/>
      <w:lvlJc w:val="left"/>
      <w:pPr>
        <w:ind w:left="4253" w:hanging="360"/>
      </w:pPr>
      <w:rPr>
        <w:rFonts w:ascii="Symbol" w:hAnsi="Symbol" w:hint="default"/>
        <w:b w:val="0"/>
        <w:i w:val="0"/>
        <w:sz w:val="16"/>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18" w15:restartNumberingAfterBreak="0">
    <w:nsid w:val="75905B14"/>
    <w:multiLevelType w:val="hybridMultilevel"/>
    <w:tmpl w:val="BE58E37A"/>
    <w:lvl w:ilvl="0" w:tplc="BA84F894">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76033">
    <w:abstractNumId w:val="0"/>
  </w:num>
  <w:num w:numId="2" w16cid:durableId="1681544853">
    <w:abstractNumId w:val="15"/>
  </w:num>
  <w:num w:numId="3" w16cid:durableId="525099072">
    <w:abstractNumId w:val="5"/>
  </w:num>
  <w:num w:numId="4" w16cid:durableId="1432360014">
    <w:abstractNumId w:val="4"/>
  </w:num>
  <w:num w:numId="5" w16cid:durableId="973952147">
    <w:abstractNumId w:val="7"/>
  </w:num>
  <w:num w:numId="6" w16cid:durableId="2064936857">
    <w:abstractNumId w:val="17"/>
  </w:num>
  <w:num w:numId="7" w16cid:durableId="354356562">
    <w:abstractNumId w:val="3"/>
  </w:num>
  <w:num w:numId="8" w16cid:durableId="603655398">
    <w:abstractNumId w:val="2"/>
  </w:num>
  <w:num w:numId="9" w16cid:durableId="1944801206">
    <w:abstractNumId w:val="8"/>
  </w:num>
  <w:num w:numId="10" w16cid:durableId="783497384">
    <w:abstractNumId w:val="14"/>
  </w:num>
  <w:num w:numId="11" w16cid:durableId="1327707672">
    <w:abstractNumId w:val="16"/>
  </w:num>
  <w:num w:numId="12" w16cid:durableId="1799029710">
    <w:abstractNumId w:val="12"/>
  </w:num>
  <w:num w:numId="13" w16cid:durableId="483738341">
    <w:abstractNumId w:val="13"/>
  </w:num>
  <w:num w:numId="14" w16cid:durableId="390540171">
    <w:abstractNumId w:val="1"/>
  </w:num>
  <w:num w:numId="15" w16cid:durableId="660622057">
    <w:abstractNumId w:val="11"/>
  </w:num>
  <w:num w:numId="16" w16cid:durableId="15431327">
    <w:abstractNumId w:val="9"/>
  </w:num>
  <w:num w:numId="17" w16cid:durableId="1920868385">
    <w:abstractNumId w:val="6"/>
  </w:num>
  <w:num w:numId="18" w16cid:durableId="1160537998">
    <w:abstractNumId w:val="10"/>
  </w:num>
  <w:num w:numId="19" w16cid:durableId="198831504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23"/>
    <w:rsid w:val="0000089B"/>
    <w:rsid w:val="00002908"/>
    <w:rsid w:val="00003BD2"/>
    <w:rsid w:val="00004286"/>
    <w:rsid w:val="00005744"/>
    <w:rsid w:val="000058C5"/>
    <w:rsid w:val="00005F26"/>
    <w:rsid w:val="0000703B"/>
    <w:rsid w:val="00007DF5"/>
    <w:rsid w:val="00010064"/>
    <w:rsid w:val="00012758"/>
    <w:rsid w:val="00013D39"/>
    <w:rsid w:val="000142E6"/>
    <w:rsid w:val="0001555A"/>
    <w:rsid w:val="000176F7"/>
    <w:rsid w:val="00021610"/>
    <w:rsid w:val="00021CD0"/>
    <w:rsid w:val="00022532"/>
    <w:rsid w:val="00024A5C"/>
    <w:rsid w:val="00025FBD"/>
    <w:rsid w:val="000267AC"/>
    <w:rsid w:val="000279A2"/>
    <w:rsid w:val="00027ED7"/>
    <w:rsid w:val="0003222D"/>
    <w:rsid w:val="00032BAF"/>
    <w:rsid w:val="00033463"/>
    <w:rsid w:val="00034A6F"/>
    <w:rsid w:val="000358A6"/>
    <w:rsid w:val="00035F2C"/>
    <w:rsid w:val="0003669D"/>
    <w:rsid w:val="00036704"/>
    <w:rsid w:val="000368EA"/>
    <w:rsid w:val="00040241"/>
    <w:rsid w:val="0004029A"/>
    <w:rsid w:val="000403BF"/>
    <w:rsid w:val="0004368A"/>
    <w:rsid w:val="000445B8"/>
    <w:rsid w:val="00045E83"/>
    <w:rsid w:val="00046812"/>
    <w:rsid w:val="00047A9E"/>
    <w:rsid w:val="00055177"/>
    <w:rsid w:val="00056918"/>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865"/>
    <w:rsid w:val="00082F83"/>
    <w:rsid w:val="00083283"/>
    <w:rsid w:val="000850B3"/>
    <w:rsid w:val="00085A86"/>
    <w:rsid w:val="000860A6"/>
    <w:rsid w:val="0008678F"/>
    <w:rsid w:val="000868FB"/>
    <w:rsid w:val="00087368"/>
    <w:rsid w:val="00091547"/>
    <w:rsid w:val="000929A6"/>
    <w:rsid w:val="00094111"/>
    <w:rsid w:val="00096A83"/>
    <w:rsid w:val="000A072B"/>
    <w:rsid w:val="000A13FF"/>
    <w:rsid w:val="000A1FE7"/>
    <w:rsid w:val="000A2840"/>
    <w:rsid w:val="000A2CB3"/>
    <w:rsid w:val="000A2CD5"/>
    <w:rsid w:val="000A5DBC"/>
    <w:rsid w:val="000B02BB"/>
    <w:rsid w:val="000B1936"/>
    <w:rsid w:val="000B1FC8"/>
    <w:rsid w:val="000B22FE"/>
    <w:rsid w:val="000B2B9F"/>
    <w:rsid w:val="000B45AC"/>
    <w:rsid w:val="000B5015"/>
    <w:rsid w:val="000B788F"/>
    <w:rsid w:val="000C0031"/>
    <w:rsid w:val="000C14C0"/>
    <w:rsid w:val="000C1F7B"/>
    <w:rsid w:val="000C2074"/>
    <w:rsid w:val="000C292F"/>
    <w:rsid w:val="000C2B5C"/>
    <w:rsid w:val="000C355D"/>
    <w:rsid w:val="000C4E42"/>
    <w:rsid w:val="000D0977"/>
    <w:rsid w:val="000D3E5A"/>
    <w:rsid w:val="000D4E36"/>
    <w:rsid w:val="000D6009"/>
    <w:rsid w:val="000D66AA"/>
    <w:rsid w:val="000D6CA4"/>
    <w:rsid w:val="000E2CBE"/>
    <w:rsid w:val="000E543F"/>
    <w:rsid w:val="000E62FE"/>
    <w:rsid w:val="000F048D"/>
    <w:rsid w:val="000F1E8A"/>
    <w:rsid w:val="000F2441"/>
    <w:rsid w:val="000F31C9"/>
    <w:rsid w:val="000F3919"/>
    <w:rsid w:val="000F39CA"/>
    <w:rsid w:val="000F4168"/>
    <w:rsid w:val="000F51DE"/>
    <w:rsid w:val="000F67D8"/>
    <w:rsid w:val="000F7A6E"/>
    <w:rsid w:val="00101DBF"/>
    <w:rsid w:val="00101FE5"/>
    <w:rsid w:val="001025AD"/>
    <w:rsid w:val="0010279C"/>
    <w:rsid w:val="0010385F"/>
    <w:rsid w:val="00104F2B"/>
    <w:rsid w:val="00106C08"/>
    <w:rsid w:val="00106CAB"/>
    <w:rsid w:val="001161E4"/>
    <w:rsid w:val="00116B3F"/>
    <w:rsid w:val="001244A9"/>
    <w:rsid w:val="00125A26"/>
    <w:rsid w:val="00125E91"/>
    <w:rsid w:val="00131097"/>
    <w:rsid w:val="00131F12"/>
    <w:rsid w:val="001323E0"/>
    <w:rsid w:val="00135321"/>
    <w:rsid w:val="00140199"/>
    <w:rsid w:val="0014039C"/>
    <w:rsid w:val="00140C1F"/>
    <w:rsid w:val="0014207C"/>
    <w:rsid w:val="00142A38"/>
    <w:rsid w:val="00142AC9"/>
    <w:rsid w:val="001441E8"/>
    <w:rsid w:val="001451CD"/>
    <w:rsid w:val="001456E7"/>
    <w:rsid w:val="0015034B"/>
    <w:rsid w:val="001509F2"/>
    <w:rsid w:val="00150B1D"/>
    <w:rsid w:val="00152ABB"/>
    <w:rsid w:val="0015376F"/>
    <w:rsid w:val="00154218"/>
    <w:rsid w:val="001546BF"/>
    <w:rsid w:val="001560D1"/>
    <w:rsid w:val="00157B60"/>
    <w:rsid w:val="001614E0"/>
    <w:rsid w:val="00161FB7"/>
    <w:rsid w:val="001623B7"/>
    <w:rsid w:val="00162CDA"/>
    <w:rsid w:val="0016506B"/>
    <w:rsid w:val="00166170"/>
    <w:rsid w:val="00166B73"/>
    <w:rsid w:val="00167048"/>
    <w:rsid w:val="00167715"/>
    <w:rsid w:val="00167F0A"/>
    <w:rsid w:val="00171BD8"/>
    <w:rsid w:val="00174B9C"/>
    <w:rsid w:val="00176056"/>
    <w:rsid w:val="0017653E"/>
    <w:rsid w:val="001808A0"/>
    <w:rsid w:val="00180CCF"/>
    <w:rsid w:val="00181FFD"/>
    <w:rsid w:val="0018254B"/>
    <w:rsid w:val="00182B01"/>
    <w:rsid w:val="0018391B"/>
    <w:rsid w:val="001840D2"/>
    <w:rsid w:val="0018435A"/>
    <w:rsid w:val="00187D12"/>
    <w:rsid w:val="00187F3F"/>
    <w:rsid w:val="00190CC7"/>
    <w:rsid w:val="00193CDA"/>
    <w:rsid w:val="001966D7"/>
    <w:rsid w:val="0019702E"/>
    <w:rsid w:val="001A0FF1"/>
    <w:rsid w:val="001A2820"/>
    <w:rsid w:val="001A38A0"/>
    <w:rsid w:val="001A4359"/>
    <w:rsid w:val="001A4915"/>
    <w:rsid w:val="001A4ABA"/>
    <w:rsid w:val="001A6DAD"/>
    <w:rsid w:val="001A7591"/>
    <w:rsid w:val="001B0EBB"/>
    <w:rsid w:val="001B3CD4"/>
    <w:rsid w:val="001B5082"/>
    <w:rsid w:val="001B7238"/>
    <w:rsid w:val="001C0C90"/>
    <w:rsid w:val="001C2ADC"/>
    <w:rsid w:val="001C2B17"/>
    <w:rsid w:val="001C4034"/>
    <w:rsid w:val="001C4D2E"/>
    <w:rsid w:val="001C50CB"/>
    <w:rsid w:val="001C512F"/>
    <w:rsid w:val="001C5207"/>
    <w:rsid w:val="001C7E35"/>
    <w:rsid w:val="001D0544"/>
    <w:rsid w:val="001D14F0"/>
    <w:rsid w:val="001D341B"/>
    <w:rsid w:val="001D3587"/>
    <w:rsid w:val="001D3A9B"/>
    <w:rsid w:val="001D5021"/>
    <w:rsid w:val="001D7456"/>
    <w:rsid w:val="001D76FD"/>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2CFB"/>
    <w:rsid w:val="00213F4C"/>
    <w:rsid w:val="002145D1"/>
    <w:rsid w:val="002149E3"/>
    <w:rsid w:val="00215E8F"/>
    <w:rsid w:val="002209D6"/>
    <w:rsid w:val="00220ABB"/>
    <w:rsid w:val="002213B1"/>
    <w:rsid w:val="00221D9F"/>
    <w:rsid w:val="00224B08"/>
    <w:rsid w:val="00224E19"/>
    <w:rsid w:val="00225B28"/>
    <w:rsid w:val="00226A28"/>
    <w:rsid w:val="0022747D"/>
    <w:rsid w:val="002306CD"/>
    <w:rsid w:val="00231850"/>
    <w:rsid w:val="002322BB"/>
    <w:rsid w:val="00233A07"/>
    <w:rsid w:val="002368AA"/>
    <w:rsid w:val="0023702C"/>
    <w:rsid w:val="00237943"/>
    <w:rsid w:val="00241CC8"/>
    <w:rsid w:val="002433ED"/>
    <w:rsid w:val="00250FEF"/>
    <w:rsid w:val="00251254"/>
    <w:rsid w:val="00253051"/>
    <w:rsid w:val="002548D1"/>
    <w:rsid w:val="002559FB"/>
    <w:rsid w:val="00256C31"/>
    <w:rsid w:val="0026277B"/>
    <w:rsid w:val="002656C8"/>
    <w:rsid w:val="0026690B"/>
    <w:rsid w:val="00271F91"/>
    <w:rsid w:val="0027283B"/>
    <w:rsid w:val="00273559"/>
    <w:rsid w:val="00274392"/>
    <w:rsid w:val="0027498E"/>
    <w:rsid w:val="00275FB8"/>
    <w:rsid w:val="0028019B"/>
    <w:rsid w:val="00283CAB"/>
    <w:rsid w:val="00286C92"/>
    <w:rsid w:val="00287370"/>
    <w:rsid w:val="00287A95"/>
    <w:rsid w:val="00290F2F"/>
    <w:rsid w:val="0029107D"/>
    <w:rsid w:val="00291123"/>
    <w:rsid w:val="00291911"/>
    <w:rsid w:val="00292AEE"/>
    <w:rsid w:val="00293255"/>
    <w:rsid w:val="002932F0"/>
    <w:rsid w:val="00293BB1"/>
    <w:rsid w:val="002943AC"/>
    <w:rsid w:val="00294AE9"/>
    <w:rsid w:val="002A0238"/>
    <w:rsid w:val="002A2A54"/>
    <w:rsid w:val="002A3FEF"/>
    <w:rsid w:val="002A4F0E"/>
    <w:rsid w:val="002B36BB"/>
    <w:rsid w:val="002B48A0"/>
    <w:rsid w:val="002B4A5D"/>
    <w:rsid w:val="002B54A6"/>
    <w:rsid w:val="002B63C3"/>
    <w:rsid w:val="002B6605"/>
    <w:rsid w:val="002C2992"/>
    <w:rsid w:val="002C4D4D"/>
    <w:rsid w:val="002C5BD7"/>
    <w:rsid w:val="002C60B9"/>
    <w:rsid w:val="002C7234"/>
    <w:rsid w:val="002C795A"/>
    <w:rsid w:val="002D0036"/>
    <w:rsid w:val="002D1874"/>
    <w:rsid w:val="002D255B"/>
    <w:rsid w:val="002D275F"/>
    <w:rsid w:val="002D2D87"/>
    <w:rsid w:val="002D2F77"/>
    <w:rsid w:val="002D4934"/>
    <w:rsid w:val="002D522E"/>
    <w:rsid w:val="002E1088"/>
    <w:rsid w:val="002E12CA"/>
    <w:rsid w:val="002E1DF4"/>
    <w:rsid w:val="002E1E8D"/>
    <w:rsid w:val="002E3DD5"/>
    <w:rsid w:val="002E629A"/>
    <w:rsid w:val="002E6C2F"/>
    <w:rsid w:val="002E74FA"/>
    <w:rsid w:val="002F249E"/>
    <w:rsid w:val="002F388E"/>
    <w:rsid w:val="002F3EE9"/>
    <w:rsid w:val="002F6F08"/>
    <w:rsid w:val="002F797F"/>
    <w:rsid w:val="003001F1"/>
    <w:rsid w:val="00302474"/>
    <w:rsid w:val="0030377A"/>
    <w:rsid w:val="00303946"/>
    <w:rsid w:val="00304193"/>
    <w:rsid w:val="0030439B"/>
    <w:rsid w:val="00305E54"/>
    <w:rsid w:val="003065D6"/>
    <w:rsid w:val="00306EB7"/>
    <w:rsid w:val="00307F76"/>
    <w:rsid w:val="003101FF"/>
    <w:rsid w:val="00310948"/>
    <w:rsid w:val="00312B7A"/>
    <w:rsid w:val="00314CEA"/>
    <w:rsid w:val="00315406"/>
    <w:rsid w:val="00316474"/>
    <w:rsid w:val="00317698"/>
    <w:rsid w:val="003209C3"/>
    <w:rsid w:val="00321AA7"/>
    <w:rsid w:val="00321D47"/>
    <w:rsid w:val="00321FBB"/>
    <w:rsid w:val="00324298"/>
    <w:rsid w:val="003242C6"/>
    <w:rsid w:val="00324484"/>
    <w:rsid w:val="00325251"/>
    <w:rsid w:val="003327CC"/>
    <w:rsid w:val="00333BDE"/>
    <w:rsid w:val="00333FAA"/>
    <w:rsid w:val="003355D7"/>
    <w:rsid w:val="0033656D"/>
    <w:rsid w:val="00337D78"/>
    <w:rsid w:val="00340394"/>
    <w:rsid w:val="00345876"/>
    <w:rsid w:val="00345BDA"/>
    <w:rsid w:val="003465B3"/>
    <w:rsid w:val="00346EEB"/>
    <w:rsid w:val="003472CA"/>
    <w:rsid w:val="00347374"/>
    <w:rsid w:val="003521BC"/>
    <w:rsid w:val="0035290A"/>
    <w:rsid w:val="00353DC3"/>
    <w:rsid w:val="0035555F"/>
    <w:rsid w:val="0035780C"/>
    <w:rsid w:val="0036201C"/>
    <w:rsid w:val="003625E3"/>
    <w:rsid w:val="003634DA"/>
    <w:rsid w:val="00363880"/>
    <w:rsid w:val="00364263"/>
    <w:rsid w:val="003663FE"/>
    <w:rsid w:val="00366E76"/>
    <w:rsid w:val="003678C0"/>
    <w:rsid w:val="0037216F"/>
    <w:rsid w:val="00372AFC"/>
    <w:rsid w:val="00372D03"/>
    <w:rsid w:val="00373E16"/>
    <w:rsid w:val="00373E71"/>
    <w:rsid w:val="00376611"/>
    <w:rsid w:val="00376768"/>
    <w:rsid w:val="00376CC8"/>
    <w:rsid w:val="00381586"/>
    <w:rsid w:val="00381A1C"/>
    <w:rsid w:val="00381A3E"/>
    <w:rsid w:val="00381E1B"/>
    <w:rsid w:val="00383D08"/>
    <w:rsid w:val="003845B4"/>
    <w:rsid w:val="003846FE"/>
    <w:rsid w:val="0038526C"/>
    <w:rsid w:val="00385A37"/>
    <w:rsid w:val="00385E6E"/>
    <w:rsid w:val="00387804"/>
    <w:rsid w:val="00390067"/>
    <w:rsid w:val="003903B4"/>
    <w:rsid w:val="003946FE"/>
    <w:rsid w:val="00394D2F"/>
    <w:rsid w:val="00395D3D"/>
    <w:rsid w:val="0039608F"/>
    <w:rsid w:val="00397067"/>
    <w:rsid w:val="003A067C"/>
    <w:rsid w:val="003A1E52"/>
    <w:rsid w:val="003A222F"/>
    <w:rsid w:val="003A595A"/>
    <w:rsid w:val="003B0005"/>
    <w:rsid w:val="003B00A7"/>
    <w:rsid w:val="003B07A5"/>
    <w:rsid w:val="003B0B81"/>
    <w:rsid w:val="003B2B91"/>
    <w:rsid w:val="003B3385"/>
    <w:rsid w:val="003B3BC2"/>
    <w:rsid w:val="003B445A"/>
    <w:rsid w:val="003C0682"/>
    <w:rsid w:val="003C0959"/>
    <w:rsid w:val="003C0BB3"/>
    <w:rsid w:val="003C21F4"/>
    <w:rsid w:val="003C4532"/>
    <w:rsid w:val="003C54FD"/>
    <w:rsid w:val="003C552A"/>
    <w:rsid w:val="003C68E4"/>
    <w:rsid w:val="003C7A65"/>
    <w:rsid w:val="003D2448"/>
    <w:rsid w:val="003D275F"/>
    <w:rsid w:val="003D291D"/>
    <w:rsid w:val="003D2E0C"/>
    <w:rsid w:val="003D40B4"/>
    <w:rsid w:val="003D4346"/>
    <w:rsid w:val="003D56ED"/>
    <w:rsid w:val="003D7AB8"/>
    <w:rsid w:val="003E2127"/>
    <w:rsid w:val="003E367E"/>
    <w:rsid w:val="003E3ABA"/>
    <w:rsid w:val="003E56AE"/>
    <w:rsid w:val="003F1D52"/>
    <w:rsid w:val="003F2777"/>
    <w:rsid w:val="003F2C5D"/>
    <w:rsid w:val="003F3AFD"/>
    <w:rsid w:val="003F4567"/>
    <w:rsid w:val="003F5D32"/>
    <w:rsid w:val="003F756D"/>
    <w:rsid w:val="003F77BB"/>
    <w:rsid w:val="00400629"/>
    <w:rsid w:val="004029CC"/>
    <w:rsid w:val="00402D03"/>
    <w:rsid w:val="00403304"/>
    <w:rsid w:val="004076C8"/>
    <w:rsid w:val="004128EA"/>
    <w:rsid w:val="00413458"/>
    <w:rsid w:val="004147C5"/>
    <w:rsid w:val="004153B6"/>
    <w:rsid w:val="004160A4"/>
    <w:rsid w:val="004177DA"/>
    <w:rsid w:val="004207E3"/>
    <w:rsid w:val="00420B96"/>
    <w:rsid w:val="00421A4C"/>
    <w:rsid w:val="00422834"/>
    <w:rsid w:val="0042308A"/>
    <w:rsid w:val="004238C2"/>
    <w:rsid w:val="0042469F"/>
    <w:rsid w:val="0042615C"/>
    <w:rsid w:val="0042674F"/>
    <w:rsid w:val="00427B10"/>
    <w:rsid w:val="004325F9"/>
    <w:rsid w:val="0043268A"/>
    <w:rsid w:val="00433A35"/>
    <w:rsid w:val="00434BE8"/>
    <w:rsid w:val="00435B5D"/>
    <w:rsid w:val="004363F7"/>
    <w:rsid w:val="00436A0B"/>
    <w:rsid w:val="004409DB"/>
    <w:rsid w:val="00441967"/>
    <w:rsid w:val="00444782"/>
    <w:rsid w:val="0044525C"/>
    <w:rsid w:val="0044683D"/>
    <w:rsid w:val="00447352"/>
    <w:rsid w:val="00452A3E"/>
    <w:rsid w:val="0045387F"/>
    <w:rsid w:val="00453E3B"/>
    <w:rsid w:val="004553F1"/>
    <w:rsid w:val="0045548A"/>
    <w:rsid w:val="00455C08"/>
    <w:rsid w:val="0045655D"/>
    <w:rsid w:val="00460592"/>
    <w:rsid w:val="00462EDD"/>
    <w:rsid w:val="00466197"/>
    <w:rsid w:val="00467517"/>
    <w:rsid w:val="00471C1F"/>
    <w:rsid w:val="00472810"/>
    <w:rsid w:val="00472A5F"/>
    <w:rsid w:val="004748AD"/>
    <w:rsid w:val="00475834"/>
    <w:rsid w:val="004809FA"/>
    <w:rsid w:val="00481735"/>
    <w:rsid w:val="0048175C"/>
    <w:rsid w:val="00482AE7"/>
    <w:rsid w:val="00483B71"/>
    <w:rsid w:val="004863F0"/>
    <w:rsid w:val="00487CDB"/>
    <w:rsid w:val="0049471D"/>
    <w:rsid w:val="00494906"/>
    <w:rsid w:val="00495315"/>
    <w:rsid w:val="004962B1"/>
    <w:rsid w:val="0049688D"/>
    <w:rsid w:val="00496F06"/>
    <w:rsid w:val="004A1570"/>
    <w:rsid w:val="004A1914"/>
    <w:rsid w:val="004A1E2D"/>
    <w:rsid w:val="004A4184"/>
    <w:rsid w:val="004A72AA"/>
    <w:rsid w:val="004A72C4"/>
    <w:rsid w:val="004B2834"/>
    <w:rsid w:val="004B4A22"/>
    <w:rsid w:val="004B4F70"/>
    <w:rsid w:val="004C0103"/>
    <w:rsid w:val="004C08EA"/>
    <w:rsid w:val="004C4A75"/>
    <w:rsid w:val="004C5ADB"/>
    <w:rsid w:val="004C5DDA"/>
    <w:rsid w:val="004D2DA0"/>
    <w:rsid w:val="004D700A"/>
    <w:rsid w:val="004E14A4"/>
    <w:rsid w:val="004E16FA"/>
    <w:rsid w:val="004E3365"/>
    <w:rsid w:val="004E3839"/>
    <w:rsid w:val="004E4FA4"/>
    <w:rsid w:val="004E536E"/>
    <w:rsid w:val="004E537F"/>
    <w:rsid w:val="004E6609"/>
    <w:rsid w:val="004E719D"/>
    <w:rsid w:val="004E7D57"/>
    <w:rsid w:val="004F0BF8"/>
    <w:rsid w:val="004F175B"/>
    <w:rsid w:val="004F19F0"/>
    <w:rsid w:val="004F1A62"/>
    <w:rsid w:val="004F54BD"/>
    <w:rsid w:val="004F56C5"/>
    <w:rsid w:val="004F6F3C"/>
    <w:rsid w:val="004F7439"/>
    <w:rsid w:val="005002A9"/>
    <w:rsid w:val="00500F01"/>
    <w:rsid w:val="00501E74"/>
    <w:rsid w:val="00503384"/>
    <w:rsid w:val="005041C2"/>
    <w:rsid w:val="005054F7"/>
    <w:rsid w:val="005078C2"/>
    <w:rsid w:val="00507F19"/>
    <w:rsid w:val="0051010C"/>
    <w:rsid w:val="00510718"/>
    <w:rsid w:val="005129D2"/>
    <w:rsid w:val="00513EC1"/>
    <w:rsid w:val="00513FF7"/>
    <w:rsid w:val="00514C91"/>
    <w:rsid w:val="005151FD"/>
    <w:rsid w:val="005177AB"/>
    <w:rsid w:val="005178DB"/>
    <w:rsid w:val="00517C7D"/>
    <w:rsid w:val="005223FE"/>
    <w:rsid w:val="00522D5D"/>
    <w:rsid w:val="0052515D"/>
    <w:rsid w:val="00525C08"/>
    <w:rsid w:val="005262CD"/>
    <w:rsid w:val="00526E52"/>
    <w:rsid w:val="00531CAE"/>
    <w:rsid w:val="005354D0"/>
    <w:rsid w:val="00535922"/>
    <w:rsid w:val="0053690A"/>
    <w:rsid w:val="00537469"/>
    <w:rsid w:val="00540FC3"/>
    <w:rsid w:val="0054172C"/>
    <w:rsid w:val="0054323D"/>
    <w:rsid w:val="00543B07"/>
    <w:rsid w:val="00545465"/>
    <w:rsid w:val="0054590F"/>
    <w:rsid w:val="005459EC"/>
    <w:rsid w:val="0054648D"/>
    <w:rsid w:val="00547729"/>
    <w:rsid w:val="00550E7A"/>
    <w:rsid w:val="00551A97"/>
    <w:rsid w:val="00552794"/>
    <w:rsid w:val="00555A6E"/>
    <w:rsid w:val="0055673A"/>
    <w:rsid w:val="00556ECF"/>
    <w:rsid w:val="0055724E"/>
    <w:rsid w:val="0055733D"/>
    <w:rsid w:val="00560DEF"/>
    <w:rsid w:val="00562685"/>
    <w:rsid w:val="0056344D"/>
    <w:rsid w:val="005637C4"/>
    <w:rsid w:val="00563F4C"/>
    <w:rsid w:val="005641E0"/>
    <w:rsid w:val="00566489"/>
    <w:rsid w:val="00566F47"/>
    <w:rsid w:val="00567953"/>
    <w:rsid w:val="0057007A"/>
    <w:rsid w:val="005709FA"/>
    <w:rsid w:val="005718B5"/>
    <w:rsid w:val="00571FB4"/>
    <w:rsid w:val="0057297F"/>
    <w:rsid w:val="00574596"/>
    <w:rsid w:val="00574F6C"/>
    <w:rsid w:val="005777E4"/>
    <w:rsid w:val="005808FB"/>
    <w:rsid w:val="00581486"/>
    <w:rsid w:val="00582376"/>
    <w:rsid w:val="00582605"/>
    <w:rsid w:val="00582F64"/>
    <w:rsid w:val="005849F4"/>
    <w:rsid w:val="005854AF"/>
    <w:rsid w:val="00585ED0"/>
    <w:rsid w:val="00590489"/>
    <w:rsid w:val="00590C8A"/>
    <w:rsid w:val="00591016"/>
    <w:rsid w:val="00593F3C"/>
    <w:rsid w:val="005975E6"/>
    <w:rsid w:val="005A045F"/>
    <w:rsid w:val="005A411F"/>
    <w:rsid w:val="005A4F77"/>
    <w:rsid w:val="005A5377"/>
    <w:rsid w:val="005A639A"/>
    <w:rsid w:val="005B0A85"/>
    <w:rsid w:val="005B0B45"/>
    <w:rsid w:val="005B2091"/>
    <w:rsid w:val="005B3414"/>
    <w:rsid w:val="005B3F67"/>
    <w:rsid w:val="005B6114"/>
    <w:rsid w:val="005B6656"/>
    <w:rsid w:val="005B6671"/>
    <w:rsid w:val="005C1709"/>
    <w:rsid w:val="005C2738"/>
    <w:rsid w:val="005C295F"/>
    <w:rsid w:val="005C416C"/>
    <w:rsid w:val="005C4E87"/>
    <w:rsid w:val="005C7899"/>
    <w:rsid w:val="005D0571"/>
    <w:rsid w:val="005D0708"/>
    <w:rsid w:val="005D2D0B"/>
    <w:rsid w:val="005D37FA"/>
    <w:rsid w:val="005D3E95"/>
    <w:rsid w:val="005D40CF"/>
    <w:rsid w:val="005D45AE"/>
    <w:rsid w:val="005D4911"/>
    <w:rsid w:val="005D548F"/>
    <w:rsid w:val="005D55FF"/>
    <w:rsid w:val="005D6161"/>
    <w:rsid w:val="005D6EF5"/>
    <w:rsid w:val="005D73B5"/>
    <w:rsid w:val="005E1498"/>
    <w:rsid w:val="005E2FCC"/>
    <w:rsid w:val="005E3A10"/>
    <w:rsid w:val="005E4BA2"/>
    <w:rsid w:val="005E53BF"/>
    <w:rsid w:val="005E5E5F"/>
    <w:rsid w:val="005E6695"/>
    <w:rsid w:val="005E7509"/>
    <w:rsid w:val="005E773C"/>
    <w:rsid w:val="005F00A6"/>
    <w:rsid w:val="005F094C"/>
    <w:rsid w:val="005F0B13"/>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594"/>
    <w:rsid w:val="0062783C"/>
    <w:rsid w:val="00627C95"/>
    <w:rsid w:val="00627E6E"/>
    <w:rsid w:val="006327F6"/>
    <w:rsid w:val="00633771"/>
    <w:rsid w:val="006337F6"/>
    <w:rsid w:val="00635966"/>
    <w:rsid w:val="00636159"/>
    <w:rsid w:val="00636DE4"/>
    <w:rsid w:val="00637F5E"/>
    <w:rsid w:val="00640148"/>
    <w:rsid w:val="006404A0"/>
    <w:rsid w:val="00641828"/>
    <w:rsid w:val="00641EF9"/>
    <w:rsid w:val="006424FA"/>
    <w:rsid w:val="00643710"/>
    <w:rsid w:val="00645B8B"/>
    <w:rsid w:val="00647599"/>
    <w:rsid w:val="006509D7"/>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B52"/>
    <w:rsid w:val="00674E2D"/>
    <w:rsid w:val="006759D7"/>
    <w:rsid w:val="00675F21"/>
    <w:rsid w:val="00676BE8"/>
    <w:rsid w:val="00677EC3"/>
    <w:rsid w:val="00685880"/>
    <w:rsid w:val="00685F8B"/>
    <w:rsid w:val="006878EF"/>
    <w:rsid w:val="00687CA0"/>
    <w:rsid w:val="00690337"/>
    <w:rsid w:val="00691D31"/>
    <w:rsid w:val="00692B3B"/>
    <w:rsid w:val="00693C15"/>
    <w:rsid w:val="006964E3"/>
    <w:rsid w:val="00696A83"/>
    <w:rsid w:val="0069703C"/>
    <w:rsid w:val="006A0642"/>
    <w:rsid w:val="006A200B"/>
    <w:rsid w:val="006A2132"/>
    <w:rsid w:val="006A27CD"/>
    <w:rsid w:val="006A506A"/>
    <w:rsid w:val="006B0184"/>
    <w:rsid w:val="006B029B"/>
    <w:rsid w:val="006B1286"/>
    <w:rsid w:val="006B1BE0"/>
    <w:rsid w:val="006B3297"/>
    <w:rsid w:val="006B6BC5"/>
    <w:rsid w:val="006B7DEF"/>
    <w:rsid w:val="006B7F6A"/>
    <w:rsid w:val="006C18EA"/>
    <w:rsid w:val="006C2A0A"/>
    <w:rsid w:val="006C4484"/>
    <w:rsid w:val="006C580A"/>
    <w:rsid w:val="006C5ED7"/>
    <w:rsid w:val="006C6B72"/>
    <w:rsid w:val="006D1966"/>
    <w:rsid w:val="006D1977"/>
    <w:rsid w:val="006D1E69"/>
    <w:rsid w:val="006D376F"/>
    <w:rsid w:val="006D3BD9"/>
    <w:rsid w:val="006D627B"/>
    <w:rsid w:val="006D67FB"/>
    <w:rsid w:val="006D72BB"/>
    <w:rsid w:val="006E20C9"/>
    <w:rsid w:val="006E4E0C"/>
    <w:rsid w:val="006E5ECA"/>
    <w:rsid w:val="006E608B"/>
    <w:rsid w:val="006E6EF2"/>
    <w:rsid w:val="006F057C"/>
    <w:rsid w:val="006F15EC"/>
    <w:rsid w:val="006F1A4C"/>
    <w:rsid w:val="006F1B79"/>
    <w:rsid w:val="006F1BF6"/>
    <w:rsid w:val="006F22DA"/>
    <w:rsid w:val="006F2C01"/>
    <w:rsid w:val="006F2EB3"/>
    <w:rsid w:val="006F3BB5"/>
    <w:rsid w:val="006F61E1"/>
    <w:rsid w:val="006F6988"/>
    <w:rsid w:val="007017C5"/>
    <w:rsid w:val="00703AC2"/>
    <w:rsid w:val="00703EAC"/>
    <w:rsid w:val="007049C1"/>
    <w:rsid w:val="00705694"/>
    <w:rsid w:val="00705886"/>
    <w:rsid w:val="00707EA4"/>
    <w:rsid w:val="00710E25"/>
    <w:rsid w:val="007116B1"/>
    <w:rsid w:val="007123C2"/>
    <w:rsid w:val="0071318F"/>
    <w:rsid w:val="00714BEE"/>
    <w:rsid w:val="007150B2"/>
    <w:rsid w:val="007163A8"/>
    <w:rsid w:val="00720AC6"/>
    <w:rsid w:val="00721215"/>
    <w:rsid w:val="0072357A"/>
    <w:rsid w:val="0072367F"/>
    <w:rsid w:val="00723BA5"/>
    <w:rsid w:val="00724B6F"/>
    <w:rsid w:val="00725DAB"/>
    <w:rsid w:val="00731669"/>
    <w:rsid w:val="00731A82"/>
    <w:rsid w:val="007323B9"/>
    <w:rsid w:val="0073378D"/>
    <w:rsid w:val="00734372"/>
    <w:rsid w:val="007347CA"/>
    <w:rsid w:val="00734B67"/>
    <w:rsid w:val="00734E4B"/>
    <w:rsid w:val="00735827"/>
    <w:rsid w:val="0073664B"/>
    <w:rsid w:val="007371F1"/>
    <w:rsid w:val="007372EA"/>
    <w:rsid w:val="007373F9"/>
    <w:rsid w:val="007400CF"/>
    <w:rsid w:val="00745F89"/>
    <w:rsid w:val="00747A26"/>
    <w:rsid w:val="00747AAF"/>
    <w:rsid w:val="007511E7"/>
    <w:rsid w:val="007518BE"/>
    <w:rsid w:val="007529DD"/>
    <w:rsid w:val="00752C7F"/>
    <w:rsid w:val="00753668"/>
    <w:rsid w:val="00753F00"/>
    <w:rsid w:val="00754BFA"/>
    <w:rsid w:val="00755B7D"/>
    <w:rsid w:val="0075633A"/>
    <w:rsid w:val="007566B2"/>
    <w:rsid w:val="007567D8"/>
    <w:rsid w:val="0076086B"/>
    <w:rsid w:val="007608E1"/>
    <w:rsid w:val="007647BA"/>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33"/>
    <w:rsid w:val="007A7B72"/>
    <w:rsid w:val="007B04DB"/>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38E7"/>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6E87"/>
    <w:rsid w:val="00817D33"/>
    <w:rsid w:val="0082089A"/>
    <w:rsid w:val="00822978"/>
    <w:rsid w:val="00822C84"/>
    <w:rsid w:val="00822FA4"/>
    <w:rsid w:val="008232B4"/>
    <w:rsid w:val="00825082"/>
    <w:rsid w:val="00826B9A"/>
    <w:rsid w:val="00827613"/>
    <w:rsid w:val="00827952"/>
    <w:rsid w:val="00830047"/>
    <w:rsid w:val="00830A68"/>
    <w:rsid w:val="00830DD8"/>
    <w:rsid w:val="00831370"/>
    <w:rsid w:val="00840125"/>
    <w:rsid w:val="00840682"/>
    <w:rsid w:val="008412E1"/>
    <w:rsid w:val="00841E9B"/>
    <w:rsid w:val="00842CBE"/>
    <w:rsid w:val="008439CB"/>
    <w:rsid w:val="00844634"/>
    <w:rsid w:val="00845797"/>
    <w:rsid w:val="00850932"/>
    <w:rsid w:val="0085266D"/>
    <w:rsid w:val="00854BE1"/>
    <w:rsid w:val="00855723"/>
    <w:rsid w:val="008567F1"/>
    <w:rsid w:val="00860FB9"/>
    <w:rsid w:val="0086284D"/>
    <w:rsid w:val="008629A0"/>
    <w:rsid w:val="00862E6C"/>
    <w:rsid w:val="00866A99"/>
    <w:rsid w:val="00867DDC"/>
    <w:rsid w:val="0087055B"/>
    <w:rsid w:val="008711C4"/>
    <w:rsid w:val="00874D96"/>
    <w:rsid w:val="008768DF"/>
    <w:rsid w:val="00876F40"/>
    <w:rsid w:val="00877948"/>
    <w:rsid w:val="00877B4A"/>
    <w:rsid w:val="008816D8"/>
    <w:rsid w:val="00881922"/>
    <w:rsid w:val="00881B81"/>
    <w:rsid w:val="008837A9"/>
    <w:rsid w:val="00884CD6"/>
    <w:rsid w:val="008867EF"/>
    <w:rsid w:val="0089102A"/>
    <w:rsid w:val="00891E82"/>
    <w:rsid w:val="00892B68"/>
    <w:rsid w:val="00893DE8"/>
    <w:rsid w:val="008940FC"/>
    <w:rsid w:val="00894C59"/>
    <w:rsid w:val="008977B2"/>
    <w:rsid w:val="008A1A78"/>
    <w:rsid w:val="008A39F5"/>
    <w:rsid w:val="008A3B80"/>
    <w:rsid w:val="008A4702"/>
    <w:rsid w:val="008A595E"/>
    <w:rsid w:val="008A5AA0"/>
    <w:rsid w:val="008A5DAA"/>
    <w:rsid w:val="008B07FC"/>
    <w:rsid w:val="008B2323"/>
    <w:rsid w:val="008B2F9A"/>
    <w:rsid w:val="008B30EC"/>
    <w:rsid w:val="008B4871"/>
    <w:rsid w:val="008B66A7"/>
    <w:rsid w:val="008C21B1"/>
    <w:rsid w:val="008C35E5"/>
    <w:rsid w:val="008C458E"/>
    <w:rsid w:val="008C47FA"/>
    <w:rsid w:val="008D011A"/>
    <w:rsid w:val="008D0238"/>
    <w:rsid w:val="008D13D7"/>
    <w:rsid w:val="008D3BEB"/>
    <w:rsid w:val="008D3FFB"/>
    <w:rsid w:val="008D5BCC"/>
    <w:rsid w:val="008D6269"/>
    <w:rsid w:val="008D669F"/>
    <w:rsid w:val="008D7EB3"/>
    <w:rsid w:val="008E06CF"/>
    <w:rsid w:val="008E08C6"/>
    <w:rsid w:val="008E0D0E"/>
    <w:rsid w:val="008E20FC"/>
    <w:rsid w:val="008E224D"/>
    <w:rsid w:val="008E4057"/>
    <w:rsid w:val="008E59B8"/>
    <w:rsid w:val="008E6E10"/>
    <w:rsid w:val="008E6E89"/>
    <w:rsid w:val="008F076A"/>
    <w:rsid w:val="008F260D"/>
    <w:rsid w:val="008F35E7"/>
    <w:rsid w:val="008F578A"/>
    <w:rsid w:val="008F66EC"/>
    <w:rsid w:val="00900D65"/>
    <w:rsid w:val="0090134F"/>
    <w:rsid w:val="009037BA"/>
    <w:rsid w:val="009039A9"/>
    <w:rsid w:val="00904514"/>
    <w:rsid w:val="00904C87"/>
    <w:rsid w:val="00905780"/>
    <w:rsid w:val="00906499"/>
    <w:rsid w:val="00911666"/>
    <w:rsid w:val="009126C0"/>
    <w:rsid w:val="00913AC0"/>
    <w:rsid w:val="00913D8A"/>
    <w:rsid w:val="00916452"/>
    <w:rsid w:val="009172FA"/>
    <w:rsid w:val="009215D2"/>
    <w:rsid w:val="00923DC1"/>
    <w:rsid w:val="009247F9"/>
    <w:rsid w:val="0092530B"/>
    <w:rsid w:val="00926BE2"/>
    <w:rsid w:val="009272B6"/>
    <w:rsid w:val="00927E8A"/>
    <w:rsid w:val="0093325E"/>
    <w:rsid w:val="009333ED"/>
    <w:rsid w:val="00933B50"/>
    <w:rsid w:val="009340D2"/>
    <w:rsid w:val="009347CD"/>
    <w:rsid w:val="00934DB0"/>
    <w:rsid w:val="0093766B"/>
    <w:rsid w:val="00940968"/>
    <w:rsid w:val="00941288"/>
    <w:rsid w:val="0094208C"/>
    <w:rsid w:val="0094235B"/>
    <w:rsid w:val="00942F17"/>
    <w:rsid w:val="0094425B"/>
    <w:rsid w:val="009459AB"/>
    <w:rsid w:val="009472C5"/>
    <w:rsid w:val="00947577"/>
    <w:rsid w:val="009477E5"/>
    <w:rsid w:val="0095229C"/>
    <w:rsid w:val="009528E2"/>
    <w:rsid w:val="0095290A"/>
    <w:rsid w:val="00952CEF"/>
    <w:rsid w:val="00953A2E"/>
    <w:rsid w:val="00953FAC"/>
    <w:rsid w:val="00954439"/>
    <w:rsid w:val="00954FCF"/>
    <w:rsid w:val="00955421"/>
    <w:rsid w:val="00955838"/>
    <w:rsid w:val="0096399F"/>
    <w:rsid w:val="009651DB"/>
    <w:rsid w:val="00966427"/>
    <w:rsid w:val="009706A0"/>
    <w:rsid w:val="00974340"/>
    <w:rsid w:val="00974EFB"/>
    <w:rsid w:val="009776C7"/>
    <w:rsid w:val="009804EF"/>
    <w:rsid w:val="009817C7"/>
    <w:rsid w:val="00982248"/>
    <w:rsid w:val="009826C6"/>
    <w:rsid w:val="00983E4B"/>
    <w:rsid w:val="0098530B"/>
    <w:rsid w:val="00986336"/>
    <w:rsid w:val="00987B93"/>
    <w:rsid w:val="00987D31"/>
    <w:rsid w:val="00987E77"/>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47A0"/>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1D6C"/>
    <w:rsid w:val="00A035F2"/>
    <w:rsid w:val="00A039AF"/>
    <w:rsid w:val="00A04121"/>
    <w:rsid w:val="00A04874"/>
    <w:rsid w:val="00A055CE"/>
    <w:rsid w:val="00A05B17"/>
    <w:rsid w:val="00A05C4D"/>
    <w:rsid w:val="00A05F92"/>
    <w:rsid w:val="00A07A40"/>
    <w:rsid w:val="00A10B01"/>
    <w:rsid w:val="00A124A1"/>
    <w:rsid w:val="00A1258C"/>
    <w:rsid w:val="00A14195"/>
    <w:rsid w:val="00A1516C"/>
    <w:rsid w:val="00A169E3"/>
    <w:rsid w:val="00A16FB7"/>
    <w:rsid w:val="00A20113"/>
    <w:rsid w:val="00A20D78"/>
    <w:rsid w:val="00A2107D"/>
    <w:rsid w:val="00A2215F"/>
    <w:rsid w:val="00A22839"/>
    <w:rsid w:val="00A23E19"/>
    <w:rsid w:val="00A254C6"/>
    <w:rsid w:val="00A25CEF"/>
    <w:rsid w:val="00A26DD6"/>
    <w:rsid w:val="00A278D3"/>
    <w:rsid w:val="00A30958"/>
    <w:rsid w:val="00A31A56"/>
    <w:rsid w:val="00A31B66"/>
    <w:rsid w:val="00A33185"/>
    <w:rsid w:val="00A332A5"/>
    <w:rsid w:val="00A33509"/>
    <w:rsid w:val="00A33B8B"/>
    <w:rsid w:val="00A33FB5"/>
    <w:rsid w:val="00A344B1"/>
    <w:rsid w:val="00A34A58"/>
    <w:rsid w:val="00A34E3B"/>
    <w:rsid w:val="00A3549A"/>
    <w:rsid w:val="00A35A5E"/>
    <w:rsid w:val="00A41221"/>
    <w:rsid w:val="00A440F6"/>
    <w:rsid w:val="00A469B4"/>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0053"/>
    <w:rsid w:val="00AA1332"/>
    <w:rsid w:val="00AA287F"/>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ED2"/>
    <w:rsid w:val="00AD4FF7"/>
    <w:rsid w:val="00AD5BA2"/>
    <w:rsid w:val="00AD6D80"/>
    <w:rsid w:val="00AD79C6"/>
    <w:rsid w:val="00AE0A02"/>
    <w:rsid w:val="00AE18AA"/>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722"/>
    <w:rsid w:val="00B159A3"/>
    <w:rsid w:val="00B1698A"/>
    <w:rsid w:val="00B170CB"/>
    <w:rsid w:val="00B17307"/>
    <w:rsid w:val="00B20310"/>
    <w:rsid w:val="00B20DCF"/>
    <w:rsid w:val="00B21C50"/>
    <w:rsid w:val="00B228EA"/>
    <w:rsid w:val="00B24300"/>
    <w:rsid w:val="00B27727"/>
    <w:rsid w:val="00B27CB1"/>
    <w:rsid w:val="00B329CE"/>
    <w:rsid w:val="00B36716"/>
    <w:rsid w:val="00B42BF2"/>
    <w:rsid w:val="00B42DB8"/>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67B97"/>
    <w:rsid w:val="00B7003E"/>
    <w:rsid w:val="00B72FD1"/>
    <w:rsid w:val="00B731FC"/>
    <w:rsid w:val="00B754D4"/>
    <w:rsid w:val="00B75D7A"/>
    <w:rsid w:val="00B763F3"/>
    <w:rsid w:val="00B77B16"/>
    <w:rsid w:val="00B77CFB"/>
    <w:rsid w:val="00B804E8"/>
    <w:rsid w:val="00B846B4"/>
    <w:rsid w:val="00B847BB"/>
    <w:rsid w:val="00B87D4F"/>
    <w:rsid w:val="00B915E4"/>
    <w:rsid w:val="00B948C4"/>
    <w:rsid w:val="00B95259"/>
    <w:rsid w:val="00B9556A"/>
    <w:rsid w:val="00B963AE"/>
    <w:rsid w:val="00B96C22"/>
    <w:rsid w:val="00BA18FA"/>
    <w:rsid w:val="00BA1B32"/>
    <w:rsid w:val="00BA2A1D"/>
    <w:rsid w:val="00BA4B25"/>
    <w:rsid w:val="00BB25A7"/>
    <w:rsid w:val="00BB342A"/>
    <w:rsid w:val="00BB4188"/>
    <w:rsid w:val="00BB687F"/>
    <w:rsid w:val="00BB6AD4"/>
    <w:rsid w:val="00BB771D"/>
    <w:rsid w:val="00BC0021"/>
    <w:rsid w:val="00BC05A6"/>
    <w:rsid w:val="00BC0A1E"/>
    <w:rsid w:val="00BC0D49"/>
    <w:rsid w:val="00BC0E21"/>
    <w:rsid w:val="00BC1579"/>
    <w:rsid w:val="00BC200E"/>
    <w:rsid w:val="00BC206C"/>
    <w:rsid w:val="00BC3B81"/>
    <w:rsid w:val="00BC3E16"/>
    <w:rsid w:val="00BC431A"/>
    <w:rsid w:val="00BC67C8"/>
    <w:rsid w:val="00BC6A1D"/>
    <w:rsid w:val="00BC70DB"/>
    <w:rsid w:val="00BC71B4"/>
    <w:rsid w:val="00BC74D1"/>
    <w:rsid w:val="00BC77DF"/>
    <w:rsid w:val="00BD0197"/>
    <w:rsid w:val="00BD2759"/>
    <w:rsid w:val="00BD3890"/>
    <w:rsid w:val="00BD51A3"/>
    <w:rsid w:val="00BD571C"/>
    <w:rsid w:val="00BD5A5F"/>
    <w:rsid w:val="00BD6CCD"/>
    <w:rsid w:val="00BD6E46"/>
    <w:rsid w:val="00BD7350"/>
    <w:rsid w:val="00BE03D3"/>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6695"/>
    <w:rsid w:val="00C07863"/>
    <w:rsid w:val="00C07893"/>
    <w:rsid w:val="00C10137"/>
    <w:rsid w:val="00C102C7"/>
    <w:rsid w:val="00C1159D"/>
    <w:rsid w:val="00C119A2"/>
    <w:rsid w:val="00C128DD"/>
    <w:rsid w:val="00C13496"/>
    <w:rsid w:val="00C13B1E"/>
    <w:rsid w:val="00C1480B"/>
    <w:rsid w:val="00C17354"/>
    <w:rsid w:val="00C20739"/>
    <w:rsid w:val="00C214FF"/>
    <w:rsid w:val="00C21509"/>
    <w:rsid w:val="00C23671"/>
    <w:rsid w:val="00C241BE"/>
    <w:rsid w:val="00C27838"/>
    <w:rsid w:val="00C27D86"/>
    <w:rsid w:val="00C320DB"/>
    <w:rsid w:val="00C3219B"/>
    <w:rsid w:val="00C327E5"/>
    <w:rsid w:val="00C345BB"/>
    <w:rsid w:val="00C3616A"/>
    <w:rsid w:val="00C3664F"/>
    <w:rsid w:val="00C372C5"/>
    <w:rsid w:val="00C373EB"/>
    <w:rsid w:val="00C407B8"/>
    <w:rsid w:val="00C414D4"/>
    <w:rsid w:val="00C43D14"/>
    <w:rsid w:val="00C455B5"/>
    <w:rsid w:val="00C462A0"/>
    <w:rsid w:val="00C46BD5"/>
    <w:rsid w:val="00C51080"/>
    <w:rsid w:val="00C51734"/>
    <w:rsid w:val="00C51A34"/>
    <w:rsid w:val="00C520AF"/>
    <w:rsid w:val="00C52FD6"/>
    <w:rsid w:val="00C53E8A"/>
    <w:rsid w:val="00C54C4C"/>
    <w:rsid w:val="00C564F8"/>
    <w:rsid w:val="00C5719E"/>
    <w:rsid w:val="00C57267"/>
    <w:rsid w:val="00C57DF6"/>
    <w:rsid w:val="00C57F17"/>
    <w:rsid w:val="00C57F30"/>
    <w:rsid w:val="00C57F8C"/>
    <w:rsid w:val="00C607DA"/>
    <w:rsid w:val="00C61021"/>
    <w:rsid w:val="00C61C3A"/>
    <w:rsid w:val="00C61D7F"/>
    <w:rsid w:val="00C6244F"/>
    <w:rsid w:val="00C62B63"/>
    <w:rsid w:val="00C62EC1"/>
    <w:rsid w:val="00C65259"/>
    <w:rsid w:val="00C6595B"/>
    <w:rsid w:val="00C66DF0"/>
    <w:rsid w:val="00C7052B"/>
    <w:rsid w:val="00C706DF"/>
    <w:rsid w:val="00C72B5B"/>
    <w:rsid w:val="00C742E3"/>
    <w:rsid w:val="00C75068"/>
    <w:rsid w:val="00C75F94"/>
    <w:rsid w:val="00C765C5"/>
    <w:rsid w:val="00C76F6F"/>
    <w:rsid w:val="00C77296"/>
    <w:rsid w:val="00C810A7"/>
    <w:rsid w:val="00C811D6"/>
    <w:rsid w:val="00C81C10"/>
    <w:rsid w:val="00C822CE"/>
    <w:rsid w:val="00C84658"/>
    <w:rsid w:val="00C84937"/>
    <w:rsid w:val="00C90473"/>
    <w:rsid w:val="00C91150"/>
    <w:rsid w:val="00C91ADC"/>
    <w:rsid w:val="00C91E39"/>
    <w:rsid w:val="00C93E9C"/>
    <w:rsid w:val="00C942E1"/>
    <w:rsid w:val="00C94F64"/>
    <w:rsid w:val="00C96F6D"/>
    <w:rsid w:val="00C97CDB"/>
    <w:rsid w:val="00CA0075"/>
    <w:rsid w:val="00CA2FF3"/>
    <w:rsid w:val="00CA4CC4"/>
    <w:rsid w:val="00CA5C65"/>
    <w:rsid w:val="00CA70AF"/>
    <w:rsid w:val="00CA79C7"/>
    <w:rsid w:val="00CA7B43"/>
    <w:rsid w:val="00CB01F3"/>
    <w:rsid w:val="00CB1CAF"/>
    <w:rsid w:val="00CB1DF2"/>
    <w:rsid w:val="00CB2A23"/>
    <w:rsid w:val="00CB2AAA"/>
    <w:rsid w:val="00CB3F47"/>
    <w:rsid w:val="00CB4CE7"/>
    <w:rsid w:val="00CB53AB"/>
    <w:rsid w:val="00CB6DCF"/>
    <w:rsid w:val="00CC17C2"/>
    <w:rsid w:val="00CC258C"/>
    <w:rsid w:val="00CC2797"/>
    <w:rsid w:val="00CC4529"/>
    <w:rsid w:val="00CC4958"/>
    <w:rsid w:val="00CC497B"/>
    <w:rsid w:val="00CC4E23"/>
    <w:rsid w:val="00CC4FF6"/>
    <w:rsid w:val="00CC581A"/>
    <w:rsid w:val="00CC76C0"/>
    <w:rsid w:val="00CC76CA"/>
    <w:rsid w:val="00CC7D9A"/>
    <w:rsid w:val="00CD062E"/>
    <w:rsid w:val="00CD06BB"/>
    <w:rsid w:val="00CD1009"/>
    <w:rsid w:val="00CD1530"/>
    <w:rsid w:val="00CD29B9"/>
    <w:rsid w:val="00CD2E63"/>
    <w:rsid w:val="00CD3550"/>
    <w:rsid w:val="00CD4723"/>
    <w:rsid w:val="00CD4D93"/>
    <w:rsid w:val="00CD5B85"/>
    <w:rsid w:val="00CD5DB3"/>
    <w:rsid w:val="00CD6BED"/>
    <w:rsid w:val="00CD7D5D"/>
    <w:rsid w:val="00CE48E2"/>
    <w:rsid w:val="00CE4F2F"/>
    <w:rsid w:val="00CE59BC"/>
    <w:rsid w:val="00CE6A9E"/>
    <w:rsid w:val="00CF008C"/>
    <w:rsid w:val="00CF0BC0"/>
    <w:rsid w:val="00CF0FC4"/>
    <w:rsid w:val="00CF150C"/>
    <w:rsid w:val="00CF1706"/>
    <w:rsid w:val="00CF1CA4"/>
    <w:rsid w:val="00CF1E61"/>
    <w:rsid w:val="00CF3EF2"/>
    <w:rsid w:val="00CF48EF"/>
    <w:rsid w:val="00CF613A"/>
    <w:rsid w:val="00CF6932"/>
    <w:rsid w:val="00D00A25"/>
    <w:rsid w:val="00D01D88"/>
    <w:rsid w:val="00D01F52"/>
    <w:rsid w:val="00D01FE3"/>
    <w:rsid w:val="00D04F65"/>
    <w:rsid w:val="00D06CA3"/>
    <w:rsid w:val="00D07F46"/>
    <w:rsid w:val="00D10B38"/>
    <w:rsid w:val="00D122E9"/>
    <w:rsid w:val="00D12DB7"/>
    <w:rsid w:val="00D12E6F"/>
    <w:rsid w:val="00D1552E"/>
    <w:rsid w:val="00D170E5"/>
    <w:rsid w:val="00D207C1"/>
    <w:rsid w:val="00D20B70"/>
    <w:rsid w:val="00D20C8B"/>
    <w:rsid w:val="00D21155"/>
    <w:rsid w:val="00D2600C"/>
    <w:rsid w:val="00D26D87"/>
    <w:rsid w:val="00D27C65"/>
    <w:rsid w:val="00D31229"/>
    <w:rsid w:val="00D3271A"/>
    <w:rsid w:val="00D3311D"/>
    <w:rsid w:val="00D33134"/>
    <w:rsid w:val="00D34688"/>
    <w:rsid w:val="00D34FF6"/>
    <w:rsid w:val="00D36AF6"/>
    <w:rsid w:val="00D373C8"/>
    <w:rsid w:val="00D37C13"/>
    <w:rsid w:val="00D37F2F"/>
    <w:rsid w:val="00D40765"/>
    <w:rsid w:val="00D415B9"/>
    <w:rsid w:val="00D43D71"/>
    <w:rsid w:val="00D461E5"/>
    <w:rsid w:val="00D47C3D"/>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2764"/>
    <w:rsid w:val="00D73509"/>
    <w:rsid w:val="00D7380F"/>
    <w:rsid w:val="00D771D0"/>
    <w:rsid w:val="00D772A3"/>
    <w:rsid w:val="00D8019C"/>
    <w:rsid w:val="00D835CF"/>
    <w:rsid w:val="00D84C1F"/>
    <w:rsid w:val="00D84D5B"/>
    <w:rsid w:val="00D86FEB"/>
    <w:rsid w:val="00D87B72"/>
    <w:rsid w:val="00D9149A"/>
    <w:rsid w:val="00D920A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3F20"/>
    <w:rsid w:val="00DB43D6"/>
    <w:rsid w:val="00DB5385"/>
    <w:rsid w:val="00DB60B4"/>
    <w:rsid w:val="00DB648D"/>
    <w:rsid w:val="00DB67D0"/>
    <w:rsid w:val="00DB6AFF"/>
    <w:rsid w:val="00DB6C3D"/>
    <w:rsid w:val="00DB6CE2"/>
    <w:rsid w:val="00DB6E4B"/>
    <w:rsid w:val="00DC1A6D"/>
    <w:rsid w:val="00DC2B1B"/>
    <w:rsid w:val="00DC372B"/>
    <w:rsid w:val="00DC5ACF"/>
    <w:rsid w:val="00DC6EA1"/>
    <w:rsid w:val="00DC7888"/>
    <w:rsid w:val="00DC7E71"/>
    <w:rsid w:val="00DC7E7A"/>
    <w:rsid w:val="00DD0399"/>
    <w:rsid w:val="00DD22D7"/>
    <w:rsid w:val="00DD3533"/>
    <w:rsid w:val="00DD6920"/>
    <w:rsid w:val="00DD7468"/>
    <w:rsid w:val="00DD7DF5"/>
    <w:rsid w:val="00DE25E9"/>
    <w:rsid w:val="00DE3D5E"/>
    <w:rsid w:val="00DE67B7"/>
    <w:rsid w:val="00DE71D3"/>
    <w:rsid w:val="00DE72CF"/>
    <w:rsid w:val="00DE7AFC"/>
    <w:rsid w:val="00DF08A0"/>
    <w:rsid w:val="00DF12E0"/>
    <w:rsid w:val="00DF13B7"/>
    <w:rsid w:val="00DF2761"/>
    <w:rsid w:val="00DF33F5"/>
    <w:rsid w:val="00DF5888"/>
    <w:rsid w:val="00DF6F73"/>
    <w:rsid w:val="00E01100"/>
    <w:rsid w:val="00E0303C"/>
    <w:rsid w:val="00E032C7"/>
    <w:rsid w:val="00E06EEC"/>
    <w:rsid w:val="00E1049C"/>
    <w:rsid w:val="00E12917"/>
    <w:rsid w:val="00E13C02"/>
    <w:rsid w:val="00E22B25"/>
    <w:rsid w:val="00E2604A"/>
    <w:rsid w:val="00E265A3"/>
    <w:rsid w:val="00E269CF"/>
    <w:rsid w:val="00E31E01"/>
    <w:rsid w:val="00E31F2F"/>
    <w:rsid w:val="00E37F2D"/>
    <w:rsid w:val="00E4062A"/>
    <w:rsid w:val="00E41F63"/>
    <w:rsid w:val="00E41F8A"/>
    <w:rsid w:val="00E4256F"/>
    <w:rsid w:val="00E42BAC"/>
    <w:rsid w:val="00E43256"/>
    <w:rsid w:val="00E433A1"/>
    <w:rsid w:val="00E43B5D"/>
    <w:rsid w:val="00E461B7"/>
    <w:rsid w:val="00E5120E"/>
    <w:rsid w:val="00E52307"/>
    <w:rsid w:val="00E52FAF"/>
    <w:rsid w:val="00E5312A"/>
    <w:rsid w:val="00E545DE"/>
    <w:rsid w:val="00E54898"/>
    <w:rsid w:val="00E56319"/>
    <w:rsid w:val="00E56F07"/>
    <w:rsid w:val="00E63C4C"/>
    <w:rsid w:val="00E66A2A"/>
    <w:rsid w:val="00E67574"/>
    <w:rsid w:val="00E70760"/>
    <w:rsid w:val="00E7133E"/>
    <w:rsid w:val="00E71B40"/>
    <w:rsid w:val="00E72C93"/>
    <w:rsid w:val="00E74608"/>
    <w:rsid w:val="00E76761"/>
    <w:rsid w:val="00E814F9"/>
    <w:rsid w:val="00E816C9"/>
    <w:rsid w:val="00E81EEA"/>
    <w:rsid w:val="00E82957"/>
    <w:rsid w:val="00E84785"/>
    <w:rsid w:val="00E84A9B"/>
    <w:rsid w:val="00E84FAC"/>
    <w:rsid w:val="00E85725"/>
    <w:rsid w:val="00E85E95"/>
    <w:rsid w:val="00E86A02"/>
    <w:rsid w:val="00E91780"/>
    <w:rsid w:val="00E91B67"/>
    <w:rsid w:val="00E9253C"/>
    <w:rsid w:val="00E938FE"/>
    <w:rsid w:val="00E971D9"/>
    <w:rsid w:val="00EA035C"/>
    <w:rsid w:val="00EA1F45"/>
    <w:rsid w:val="00EA216C"/>
    <w:rsid w:val="00EA2915"/>
    <w:rsid w:val="00EA30B3"/>
    <w:rsid w:val="00EA36D4"/>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C590A"/>
    <w:rsid w:val="00ED3EEB"/>
    <w:rsid w:val="00ED4AFD"/>
    <w:rsid w:val="00ED4C7C"/>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2470"/>
    <w:rsid w:val="00F048C8"/>
    <w:rsid w:val="00F05DD2"/>
    <w:rsid w:val="00F073D2"/>
    <w:rsid w:val="00F10DAD"/>
    <w:rsid w:val="00F111BD"/>
    <w:rsid w:val="00F1128C"/>
    <w:rsid w:val="00F11BE9"/>
    <w:rsid w:val="00F12AC4"/>
    <w:rsid w:val="00F15789"/>
    <w:rsid w:val="00F16FAE"/>
    <w:rsid w:val="00F17392"/>
    <w:rsid w:val="00F20D62"/>
    <w:rsid w:val="00F22E4D"/>
    <w:rsid w:val="00F269EA"/>
    <w:rsid w:val="00F27BA7"/>
    <w:rsid w:val="00F27D40"/>
    <w:rsid w:val="00F3141F"/>
    <w:rsid w:val="00F3209A"/>
    <w:rsid w:val="00F326E2"/>
    <w:rsid w:val="00F34D3C"/>
    <w:rsid w:val="00F360E8"/>
    <w:rsid w:val="00F370E5"/>
    <w:rsid w:val="00F42644"/>
    <w:rsid w:val="00F44CCF"/>
    <w:rsid w:val="00F44F9C"/>
    <w:rsid w:val="00F505C5"/>
    <w:rsid w:val="00F52080"/>
    <w:rsid w:val="00F52920"/>
    <w:rsid w:val="00F52BF3"/>
    <w:rsid w:val="00F539B5"/>
    <w:rsid w:val="00F548CD"/>
    <w:rsid w:val="00F5649A"/>
    <w:rsid w:val="00F6072B"/>
    <w:rsid w:val="00F608F4"/>
    <w:rsid w:val="00F60BF5"/>
    <w:rsid w:val="00F60D76"/>
    <w:rsid w:val="00F6199F"/>
    <w:rsid w:val="00F6344A"/>
    <w:rsid w:val="00F63C56"/>
    <w:rsid w:val="00F641A4"/>
    <w:rsid w:val="00F65BEB"/>
    <w:rsid w:val="00F65F9C"/>
    <w:rsid w:val="00F66253"/>
    <w:rsid w:val="00F678AF"/>
    <w:rsid w:val="00F67DC5"/>
    <w:rsid w:val="00F71E1A"/>
    <w:rsid w:val="00F72177"/>
    <w:rsid w:val="00F731D6"/>
    <w:rsid w:val="00F7323C"/>
    <w:rsid w:val="00F771E5"/>
    <w:rsid w:val="00F77BF5"/>
    <w:rsid w:val="00F77EFC"/>
    <w:rsid w:val="00F81903"/>
    <w:rsid w:val="00F82342"/>
    <w:rsid w:val="00F82419"/>
    <w:rsid w:val="00F85194"/>
    <w:rsid w:val="00F86520"/>
    <w:rsid w:val="00F877DB"/>
    <w:rsid w:val="00F90601"/>
    <w:rsid w:val="00F90841"/>
    <w:rsid w:val="00F9168D"/>
    <w:rsid w:val="00F91AE4"/>
    <w:rsid w:val="00F91D30"/>
    <w:rsid w:val="00F93C8B"/>
    <w:rsid w:val="00F959DD"/>
    <w:rsid w:val="00F960D5"/>
    <w:rsid w:val="00F960EA"/>
    <w:rsid w:val="00F979D0"/>
    <w:rsid w:val="00FA0A4E"/>
    <w:rsid w:val="00FA0D60"/>
    <w:rsid w:val="00FA1F70"/>
    <w:rsid w:val="00FA28AC"/>
    <w:rsid w:val="00FA3088"/>
    <w:rsid w:val="00FA3AA7"/>
    <w:rsid w:val="00FA4BF4"/>
    <w:rsid w:val="00FA5870"/>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3ED1"/>
    <w:rsid w:val="00FD491A"/>
    <w:rsid w:val="00FD543C"/>
    <w:rsid w:val="00FD62FD"/>
    <w:rsid w:val="00FD6EF8"/>
    <w:rsid w:val="00FD7AED"/>
    <w:rsid w:val="00FE17E2"/>
    <w:rsid w:val="00FE216A"/>
    <w:rsid w:val="00FE2A9D"/>
    <w:rsid w:val="00FE437A"/>
    <w:rsid w:val="00FE4A35"/>
    <w:rsid w:val="00FE507B"/>
    <w:rsid w:val="00FE602E"/>
    <w:rsid w:val="00FE6046"/>
    <w:rsid w:val="00FE6C08"/>
    <w:rsid w:val="00FE77C8"/>
    <w:rsid w:val="00FF069A"/>
    <w:rsid w:val="00FF0895"/>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9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paragraph" w:styleId="ListBullet">
    <w:name w:val="List Bullet"/>
    <w:basedOn w:val="Normal"/>
    <w:uiPriority w:val="2"/>
    <w:qFormat/>
    <w:rsid w:val="001623B7"/>
    <w:pPr>
      <w:numPr>
        <w:numId w:val="5"/>
      </w:numPr>
      <w:spacing w:before="120" w:after="120"/>
    </w:pPr>
    <w:rPr>
      <w:rFonts w:eastAsia="Arial"/>
      <w:color w:val="4E4E50"/>
      <w:sz w:val="22"/>
      <w:szCs w:val="22"/>
      <w:lang w:val="en-AU"/>
    </w:rPr>
  </w:style>
  <w:style w:type="paragraph" w:customStyle="1" w:styleId="BulletTypeA">
    <w:name w:val="Bullet Type A"/>
    <w:basedOn w:val="ListBullet"/>
    <w:rsid w:val="001623B7"/>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3029216">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35571232">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3330903">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3888578">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mailto:Sharon.Daniels@harrow.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3516d7b54a006814fac155c9ff6eca3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410ec2596a4198a6826c299f631890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6bdeb93-2270-4bf7-9e85-6688a4728a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63B6EAAD-A59F-42D3-B622-32723339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6bdeb93-2270-4bf7-9e85-6688a4728aea"/>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2622</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17334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Arun Birah</cp:lastModifiedBy>
  <cp:revision>4</cp:revision>
  <cp:lastPrinted>2019-09-02T07:18:00Z</cp:lastPrinted>
  <dcterms:created xsi:type="dcterms:W3CDTF">2023-11-21T09:59:00Z</dcterms:created>
  <dcterms:modified xsi:type="dcterms:W3CDTF">2023-11-21T12:26:00Z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198;#Cabinet Report Template|b79b58f4-03f4-47dd-bec7-7bae4bc4af23</vt:lpwstr>
  </property>
</Properties>
</file>